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09D4CB8E" w14:textId="77777777" w:rsidR="00A64800" w:rsidRDefault="00A64800" w:rsidP="00EC0C4F">
      <w:pPr>
        <w:rPr>
          <w:rFonts w:eastAsiaTheme="majorEastAsia" w:cstheme="minorHAnsi"/>
          <w:b/>
          <w:color w:val="2E74B5" w:themeColor="accent1" w:themeShade="BF"/>
          <w:sz w:val="32"/>
          <w:szCs w:val="32"/>
        </w:rPr>
      </w:pPr>
    </w:p>
    <w:p w14:paraId="5357BA89" w14:textId="02B8BF92" w:rsidR="002B00A5" w:rsidRPr="002B00A5" w:rsidRDefault="002B00A5" w:rsidP="002B00A5">
      <w:pPr>
        <w:jc w:val="center"/>
        <w:rPr>
          <w:rFonts w:eastAsiaTheme="majorEastAsia" w:cstheme="minorHAnsi"/>
          <w:b/>
          <w:color w:val="2E74B5" w:themeColor="accent1" w:themeShade="BF"/>
          <w:sz w:val="32"/>
          <w:szCs w:val="32"/>
        </w:rPr>
      </w:pPr>
      <w:r>
        <w:rPr>
          <w:rFonts w:eastAsiaTheme="majorEastAsia" w:cstheme="minorHAnsi"/>
          <w:b/>
          <w:color w:val="2E74B5" w:themeColor="accent1" w:themeShade="BF"/>
          <w:sz w:val="32"/>
          <w:szCs w:val="32"/>
        </w:rPr>
        <w:t xml:space="preserve">Script - </w:t>
      </w:r>
      <w:r w:rsidRPr="002B00A5">
        <w:rPr>
          <w:rFonts w:eastAsiaTheme="majorEastAsia" w:cstheme="minorHAnsi"/>
          <w:b/>
          <w:color w:val="2E74B5" w:themeColor="accent1" w:themeShade="BF"/>
          <w:sz w:val="32"/>
          <w:szCs w:val="32"/>
        </w:rPr>
        <w:t xml:space="preserve">La </w:t>
      </w:r>
      <w:proofErr w:type="spellStart"/>
      <w:r w:rsidRPr="002B00A5">
        <w:rPr>
          <w:rFonts w:eastAsiaTheme="majorEastAsia" w:cstheme="minorHAnsi"/>
          <w:b/>
          <w:color w:val="2E74B5" w:themeColor="accent1" w:themeShade="BF"/>
          <w:sz w:val="32"/>
          <w:szCs w:val="32"/>
        </w:rPr>
        <w:t>Consapevolezza</w:t>
      </w:r>
      <w:proofErr w:type="spellEnd"/>
      <w:r w:rsidRPr="002B00A5">
        <w:rPr>
          <w:rFonts w:eastAsiaTheme="majorEastAsia" w:cstheme="minorHAnsi"/>
          <w:b/>
          <w:color w:val="2E74B5" w:themeColor="accent1" w:themeShade="BF"/>
          <w:sz w:val="32"/>
          <w:szCs w:val="32"/>
        </w:rPr>
        <w:t xml:space="preserve"> </w:t>
      </w:r>
      <w:proofErr w:type="spellStart"/>
      <w:r w:rsidRPr="002B00A5">
        <w:rPr>
          <w:rFonts w:eastAsiaTheme="majorEastAsia" w:cstheme="minorHAnsi"/>
          <w:b/>
          <w:color w:val="2E74B5" w:themeColor="accent1" w:themeShade="BF"/>
          <w:sz w:val="32"/>
          <w:szCs w:val="32"/>
        </w:rPr>
        <w:t>sul</w:t>
      </w:r>
      <w:proofErr w:type="spellEnd"/>
      <w:r w:rsidRPr="002B00A5">
        <w:rPr>
          <w:rFonts w:eastAsiaTheme="majorEastAsia" w:cstheme="minorHAnsi"/>
          <w:b/>
          <w:color w:val="2E74B5" w:themeColor="accent1" w:themeShade="BF"/>
          <w:sz w:val="32"/>
          <w:szCs w:val="32"/>
        </w:rPr>
        <w:t xml:space="preserve"> Sistema </w:t>
      </w:r>
      <w:proofErr w:type="spellStart"/>
      <w:r w:rsidRPr="002B00A5">
        <w:rPr>
          <w:rFonts w:eastAsiaTheme="majorEastAsia" w:cstheme="minorHAnsi"/>
          <w:b/>
          <w:color w:val="2E74B5" w:themeColor="accent1" w:themeShade="BF"/>
          <w:sz w:val="32"/>
          <w:szCs w:val="32"/>
        </w:rPr>
        <w:t>Sanitario</w:t>
      </w:r>
      <w:proofErr w:type="spellEnd"/>
    </w:p>
    <w:p w14:paraId="679C0643"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1:</w:t>
      </w:r>
      <w:r>
        <w:rPr>
          <w:rFonts w:asciiTheme="majorHAnsi" w:eastAsiaTheme="majorEastAsia" w:hAnsiTheme="majorHAnsi" w:cstheme="majorBidi"/>
          <w:lang w:val="it-IT"/>
        </w:rPr>
        <w:t xml:space="preserve"> Benvenuti alla prima unità di apprendimento del Modulo 3. Questo modulo offre una panoramica dei sistemi sanitari contemporanei in un contesto in cui è rapido il progresso scientifico e la trasformazione digitale. Esamina le sfide che questi sistemi affrontano e gli ostacoli ad una eventuale loro implementazione. </w:t>
      </w:r>
    </w:p>
    <w:p w14:paraId="67A93924"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2:</w:t>
      </w:r>
      <w:r>
        <w:rPr>
          <w:rFonts w:asciiTheme="majorHAnsi" w:eastAsiaTheme="majorEastAsia" w:hAnsiTheme="majorHAnsi" w:cstheme="majorBidi"/>
          <w:lang w:val="it-IT"/>
        </w:rPr>
        <w:t xml:space="preserve"> In questa lezione esploreremo diversi argomenti strettamente legati tra loro. In particolare, parleremo:</w:t>
      </w:r>
    </w:p>
    <w:p w14:paraId="6201FD22" w14:textId="77777777" w:rsidR="002B00A5" w:rsidRDefault="002B00A5" w:rsidP="002B00A5">
      <w:pPr>
        <w:pStyle w:val="Paragrafoelenco"/>
        <w:numPr>
          <w:ilvl w:val="0"/>
          <w:numId w:val="23"/>
        </w:numPr>
        <w:spacing w:after="200" w:line="240" w:lineRule="auto"/>
        <w:jc w:val="both"/>
        <w:rPr>
          <w:rFonts w:asciiTheme="majorHAnsi" w:eastAsiaTheme="majorEastAsia" w:hAnsiTheme="majorHAnsi" w:cstheme="majorBidi"/>
          <w:lang w:val="it-IT"/>
        </w:rPr>
      </w:pPr>
      <w:r>
        <w:rPr>
          <w:rFonts w:asciiTheme="majorHAnsi" w:eastAsiaTheme="majorEastAsia" w:hAnsiTheme="majorHAnsi" w:cstheme="majorBidi"/>
          <w:lang w:val="it-IT"/>
        </w:rPr>
        <w:t xml:space="preserve"> degli obiettivi e dei principali elementi che compongono i sistemi sanitari;</w:t>
      </w:r>
    </w:p>
    <w:p w14:paraId="0158E024" w14:textId="77777777" w:rsidR="002B00A5" w:rsidRDefault="002B00A5" w:rsidP="002B00A5">
      <w:pPr>
        <w:pStyle w:val="Paragrafoelenco"/>
        <w:numPr>
          <w:ilvl w:val="0"/>
          <w:numId w:val="23"/>
        </w:numPr>
        <w:spacing w:after="200" w:line="240" w:lineRule="auto"/>
        <w:jc w:val="both"/>
        <w:rPr>
          <w:rFonts w:asciiTheme="majorHAnsi" w:eastAsiaTheme="majorEastAsia" w:hAnsiTheme="majorHAnsi" w:cstheme="majorBidi"/>
          <w:lang w:val="it-IT"/>
        </w:rPr>
      </w:pPr>
      <w:r>
        <w:rPr>
          <w:rFonts w:asciiTheme="majorHAnsi" w:eastAsiaTheme="majorEastAsia" w:hAnsiTheme="majorHAnsi" w:cstheme="majorBidi"/>
          <w:lang w:val="it-IT"/>
        </w:rPr>
        <w:t>dell'integrazione delle tecnologie digitali nella sanità:</w:t>
      </w:r>
    </w:p>
    <w:p w14:paraId="499B6FF0" w14:textId="77777777" w:rsidR="002B00A5" w:rsidRDefault="002B00A5" w:rsidP="002B00A5">
      <w:pPr>
        <w:pStyle w:val="Paragrafoelenco"/>
        <w:numPr>
          <w:ilvl w:val="0"/>
          <w:numId w:val="23"/>
        </w:numPr>
        <w:spacing w:after="200" w:line="240" w:lineRule="auto"/>
        <w:jc w:val="both"/>
        <w:rPr>
          <w:rFonts w:asciiTheme="majorHAnsi" w:eastAsiaTheme="majorEastAsia" w:hAnsiTheme="majorHAnsi" w:cstheme="majorBidi"/>
          <w:lang w:val="it-IT"/>
        </w:rPr>
      </w:pPr>
      <w:r>
        <w:rPr>
          <w:rFonts w:asciiTheme="majorHAnsi" w:eastAsiaTheme="majorEastAsia" w:hAnsiTheme="majorHAnsi" w:cstheme="majorBidi"/>
          <w:lang w:val="it-IT"/>
        </w:rPr>
        <w:t>degli indicatori per valutare l'efficienza dei sistemi sanitari;</w:t>
      </w:r>
    </w:p>
    <w:p w14:paraId="6B222021" w14:textId="77777777" w:rsidR="002B00A5" w:rsidRDefault="002B00A5" w:rsidP="002B00A5">
      <w:pPr>
        <w:pStyle w:val="Paragrafoelenco"/>
        <w:numPr>
          <w:ilvl w:val="0"/>
          <w:numId w:val="23"/>
        </w:numPr>
        <w:spacing w:after="200" w:line="240" w:lineRule="auto"/>
        <w:jc w:val="both"/>
        <w:rPr>
          <w:rFonts w:asciiTheme="majorHAnsi" w:eastAsiaTheme="majorEastAsia" w:hAnsiTheme="majorHAnsi" w:cstheme="majorBidi"/>
          <w:lang w:val="it-IT"/>
        </w:rPr>
      </w:pPr>
      <w:r>
        <w:rPr>
          <w:rFonts w:asciiTheme="majorHAnsi" w:eastAsiaTheme="majorEastAsia" w:hAnsiTheme="majorHAnsi" w:cstheme="majorBidi"/>
          <w:lang w:val="it-IT"/>
        </w:rPr>
        <w:t>delle difficoltà e delle sfide che i sistemi sanitari affrontano;</w:t>
      </w:r>
    </w:p>
    <w:p w14:paraId="17378468" w14:textId="77777777" w:rsidR="002B00A5" w:rsidRDefault="002B00A5" w:rsidP="002B00A5">
      <w:pPr>
        <w:pStyle w:val="Paragrafoelenco"/>
        <w:numPr>
          <w:ilvl w:val="0"/>
          <w:numId w:val="23"/>
        </w:numPr>
        <w:spacing w:after="200" w:line="240" w:lineRule="auto"/>
        <w:jc w:val="both"/>
        <w:rPr>
          <w:rFonts w:asciiTheme="majorHAnsi" w:eastAsiaTheme="majorEastAsia" w:hAnsiTheme="majorHAnsi" w:cstheme="majorBidi"/>
          <w:lang w:val="it-IT"/>
        </w:rPr>
      </w:pPr>
      <w:r>
        <w:rPr>
          <w:rFonts w:asciiTheme="majorHAnsi" w:eastAsiaTheme="majorEastAsia" w:hAnsiTheme="majorHAnsi" w:cstheme="majorBidi"/>
          <w:lang w:val="it-IT"/>
        </w:rPr>
        <w:t>delle soluzioni digitali per ridurre i conflitti tra i professionisti sanitari</w:t>
      </w:r>
    </w:p>
    <w:p w14:paraId="47DF4B58"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3:</w:t>
      </w:r>
      <w:r>
        <w:rPr>
          <w:rFonts w:asciiTheme="majorHAnsi" w:eastAsiaTheme="majorEastAsia" w:hAnsiTheme="majorHAnsi" w:cstheme="majorBidi"/>
          <w:lang w:val="it-IT"/>
        </w:rPr>
        <w:t xml:space="preserve"> Al termine di questa unità, avrai una solida comprensione della struttura e delle caratteristiche dei sistemi sanitari, con un focus particolare sulle piattaforme di e-Health e sui servizi digitali. Verranno, inoltre, introdotti concetti fondamentali come l'efficienza, l'efficacia e l’economicità nella gestione dei servizi sanitari. Grazie al nostro approccio basato su casi pratici, potrai sviluppare delle strategie per migliorare il tuo ambiente di lavoro e potrai comprendere come le soluzioni digitali possano ottimizzare i processi sanitari.</w:t>
      </w:r>
    </w:p>
    <w:p w14:paraId="5C5A4655"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4:</w:t>
      </w:r>
      <w:r>
        <w:rPr>
          <w:rFonts w:asciiTheme="majorHAnsi" w:eastAsiaTheme="majorEastAsia" w:hAnsiTheme="majorHAnsi" w:cstheme="majorBidi"/>
          <w:lang w:val="it-IT"/>
        </w:rPr>
        <w:t xml:space="preserve"> Nella prima parte di questa unità, esploreremo la struttura dei sistemi sanitari contemporanei. </w:t>
      </w:r>
    </w:p>
    <w:p w14:paraId="0E492324" w14:textId="77777777" w:rsidR="002B00A5" w:rsidRDefault="002B00A5" w:rsidP="002B00A5">
      <w:pPr>
        <w:spacing w:before="240" w:after="240"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5:</w:t>
      </w:r>
      <w:r>
        <w:rPr>
          <w:rFonts w:asciiTheme="majorHAnsi" w:eastAsiaTheme="majorEastAsia" w:hAnsiTheme="majorHAnsi" w:cstheme="majorBidi"/>
          <w:lang w:val="it-IT"/>
        </w:rPr>
        <w:t xml:space="preserve"> Iniziamo definendo cos'è un sistema sanitario. Secondo l'Organizzazione Mondiale della Sanità, un sistema sanitario comprende tutte le persone, le istituzioni e le risorse organizzate per migliorare la salute della popolazione. Il suo obiettivo è soddisfare le aspettative legittime delle persone e proteggerle dai costi legati alla malattia, attraverso attività mirate al miglioramento della salute. Il sistema sanitario offre interventi preventivi, promozionali, curativi e riabilitativi, combinando azioni di sanità pubblica con una rete di strutture sanitarie che forniscono cure individuali, sia gestite dallo Stato che da attori privati.</w:t>
      </w:r>
    </w:p>
    <w:p w14:paraId="26D5E403"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6:</w:t>
      </w:r>
      <w:r>
        <w:rPr>
          <w:rFonts w:asciiTheme="majorHAnsi" w:eastAsiaTheme="majorEastAsia" w:hAnsiTheme="majorHAnsi" w:cstheme="majorBidi"/>
          <w:lang w:val="it-IT"/>
        </w:rPr>
        <w:t xml:space="preserve"> Cosa dovrebbe garantire un sistema sanitario ben funzionante? Prima di tutto, dovrebbe migliorare lo stato di salute degli individui, delle famiglie e delle comunità, proteggendo al contempo la popolazione dalle minacce per la salute attraverso strategie preventive. La protezione include anche la salvaguardia delle persone dalle conseguenze finanziarie derivanti dalla malattia. Inoltre, è fondamentale garantire un accesso equo alle cure, centrato sul paziente, e permettere alle persone di partecipare attivamente alle decisioni relative alla propria salute.</w:t>
      </w:r>
    </w:p>
    <w:p w14:paraId="769908F3"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7:</w:t>
      </w:r>
      <w:r>
        <w:rPr>
          <w:rFonts w:asciiTheme="majorHAnsi" w:eastAsiaTheme="majorEastAsia" w:hAnsiTheme="majorHAnsi" w:cstheme="majorBidi"/>
          <w:lang w:val="it-IT"/>
        </w:rPr>
        <w:t xml:space="preserve"> Ora esaminiamo i principali pilastri di un sistema sanitario. Questi includono il personale sanitario; i meccanismi di erogazione dei servizi; i sistemi di informazione sanitaria; l'accesso ai farmaci essenziali; il finanziamento; la leadership e governance. Questi componenti si devono interagire efficacemente per assicurare l’accesso e la copertura delle cure sul territorio nazionale, per rendere il sistema sanitario integrato e di qualità e per garantire la sicurezza delle cure per il paziente.</w:t>
      </w:r>
    </w:p>
    <w:p w14:paraId="67F94584"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8:</w:t>
      </w:r>
      <w:r>
        <w:rPr>
          <w:rFonts w:asciiTheme="majorHAnsi" w:eastAsiaTheme="majorEastAsia" w:hAnsiTheme="majorHAnsi" w:cstheme="majorBidi"/>
          <w:lang w:val="it-IT"/>
        </w:rPr>
        <w:t xml:space="preserve"> Tutti i pilastri del sistema sanitario sono fondamentali ma il “personale che opera all’interno delle strutture sanitarie” è particolarmente importante. Con "personale che opera all'interno delle strutture sanitarie" si deve intende una vasta gamma di professionisti con compiti e competenze diverse, che vanno dai medici e infermieri al personale amministrativo. È essenziale che tutte queste </w:t>
      </w:r>
      <w:r>
        <w:rPr>
          <w:rFonts w:asciiTheme="majorHAnsi" w:eastAsiaTheme="majorEastAsia" w:hAnsiTheme="majorHAnsi" w:cstheme="majorBidi"/>
          <w:lang w:val="it-IT"/>
        </w:rPr>
        <w:lastRenderedPageBreak/>
        <w:t>categorie lavorino insieme in modo coordinato, per assicurare che i servizi sanitari siano efficaci, completi e accessibili a tutti.</w:t>
      </w:r>
    </w:p>
    <w:p w14:paraId="60ECC0E1"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9:</w:t>
      </w:r>
      <w:r>
        <w:rPr>
          <w:rFonts w:asciiTheme="majorHAnsi" w:eastAsiaTheme="majorEastAsia" w:hAnsiTheme="majorHAnsi" w:cstheme="majorBidi"/>
          <w:lang w:val="it-IT"/>
        </w:rPr>
        <w:t xml:space="preserve"> Affinché un sistema sanitario funzioni in modo efficace, i servizi devono essere chiaramente organizzati in quattro livelli: assistenza primaria, secondaria, terziaria e quaternaria. Ogni livello rappresenta un grado crescente di specializzazione. L'assistenza primaria funge da punto di contatto iniziale, affrontando le necessità sanitarie essenziali come la prevenzione, l'educazione alla salute e la gestione delle malattie croniche. Inoltre, svolge un ruolo di "porta d'ingresso", indirizzando i pazienti verso servizi più specialistici, quando necessario; L'assistenza secondaria si costruisce su quella primaria, offrendo trattamenti più specializzati. In questo livello, i pazienti vengono curati da professionisti con competenze specifiche, come cardiologi o dermatologi, che trattano condizioni di salute che richiedono un'attenzione più mirata rispetto alla cura di base fornita dal medico di famiglia; L'assistenza terziaria entra in gioco quando si trattano condizioni complesse o rare, che richiedono strutture avanzate ed expertise specifiche, come nel caso dell'oncologia o della neurochirurgia; Al livello più alto, l'assistenza quaternaria si occupa di interventi medici altamente specializzati, come trattamenti sperimentali o terapie genetiche all'avanguardia. Sebbene i pazienti possano progredire attraverso questi livelli, spesso esiste un processo di ritorno all'assistenza primaria per il follow-up e il supporto continuo. Questo evidenzia l'importanza cruciale di una comunicazione fluida e di una collaborazione tra tutti i livelli di assistenza. Con questa comprensione dell'organizzazione dei servizi, spostiamoci ora ad esaminare le dinamiche più ampie dei sistemi sanitari, in particolare l'interazione tra i settori pubblico e privato.</w:t>
      </w:r>
    </w:p>
    <w:p w14:paraId="75B04F1A"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10:</w:t>
      </w:r>
      <w:r>
        <w:rPr>
          <w:rFonts w:asciiTheme="majorHAnsi" w:eastAsiaTheme="majorEastAsia" w:hAnsiTheme="majorHAnsi" w:cstheme="majorBidi"/>
          <w:lang w:val="it-IT"/>
        </w:rPr>
        <w:t xml:space="preserve"> Vi invitiamo ora a riflettere sui vantaggi e svantaggi del settore pubblico e privato nel sistema sanitario.</w:t>
      </w:r>
    </w:p>
    <w:p w14:paraId="07D790B5"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11:</w:t>
      </w:r>
      <w:r>
        <w:rPr>
          <w:rFonts w:asciiTheme="majorHAnsi" w:eastAsiaTheme="majorEastAsia" w:hAnsiTheme="majorHAnsi" w:cstheme="majorBidi"/>
          <w:lang w:val="it-IT"/>
        </w:rPr>
        <w:t xml:space="preserve"> Nella prossima parte, esaminiamo gli strumenti digitali utilizzati nei sistemi sanitari moderni.</w:t>
      </w:r>
    </w:p>
    <w:p w14:paraId="73D737C2"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12:</w:t>
      </w:r>
      <w:r>
        <w:rPr>
          <w:rFonts w:asciiTheme="majorHAnsi" w:eastAsiaTheme="majorEastAsia" w:hAnsiTheme="majorHAnsi" w:cstheme="majorBidi"/>
          <w:lang w:val="it-IT"/>
        </w:rPr>
        <w:t xml:space="preserve"> Una piattaforma di salute digitale si riferisce a un'infrastruttura informativa unificata —spesso chiamata "</w:t>
      </w:r>
      <w:proofErr w:type="spellStart"/>
      <w:r>
        <w:rPr>
          <w:rFonts w:asciiTheme="majorHAnsi" w:eastAsiaTheme="majorEastAsia" w:hAnsiTheme="majorHAnsi" w:cstheme="majorBidi"/>
          <w:lang w:val="it-IT"/>
        </w:rPr>
        <w:t>infostruttura</w:t>
      </w:r>
      <w:proofErr w:type="spellEnd"/>
      <w:r>
        <w:rPr>
          <w:rFonts w:asciiTheme="majorHAnsi" w:eastAsiaTheme="majorEastAsia" w:hAnsiTheme="majorHAnsi" w:cstheme="majorBidi"/>
          <w:lang w:val="it-IT"/>
        </w:rPr>
        <w:t>"—che supporta varie applicazioni digitali relativa alla salute. Questa infrastruttura comprende un insieme di componenti riutilizzabili per garantire l'interoperabilità, permettendo agli strumenti digitali, come le cartelle cliniche elettroniche, i fascicoli sanitari elettronici e i sistemi di gestione dell’approvvigionamento di lavorare insieme senza soluzione di continuità.</w:t>
      </w:r>
    </w:p>
    <w:p w14:paraId="2282FCAC"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13</w:t>
      </w:r>
      <w:r>
        <w:rPr>
          <w:rFonts w:asciiTheme="majorHAnsi" w:eastAsiaTheme="majorEastAsia" w:hAnsiTheme="majorHAnsi" w:cstheme="majorBidi"/>
          <w:b/>
          <w:bCs/>
          <w:lang w:val="it-IT"/>
        </w:rPr>
        <w:t>:</w:t>
      </w:r>
      <w:r>
        <w:rPr>
          <w:rFonts w:asciiTheme="majorHAnsi" w:eastAsiaTheme="majorEastAsia" w:hAnsiTheme="majorHAnsi" w:cstheme="majorBidi"/>
          <w:lang w:val="it-IT"/>
        </w:rPr>
        <w:t xml:space="preserve"> Ecco una panoramica delle principali piattaforme digitali e applicazioni utilizzate nei sistemi sanitari odierni. Prenditi un momento per dare un’occhiata alla lista e segnare quelle con cui hai già familiarità. Se ci fosse qualche strumento che non conosci, potrebbe essere utile cercare ulteriori informazioni.</w:t>
      </w:r>
    </w:p>
    <w:p w14:paraId="16241B3E"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14</w:t>
      </w:r>
      <w:r>
        <w:rPr>
          <w:rFonts w:asciiTheme="majorHAnsi" w:eastAsiaTheme="majorEastAsia" w:hAnsiTheme="majorHAnsi" w:cstheme="majorBidi"/>
          <w:b/>
          <w:bCs/>
          <w:lang w:val="it-IT"/>
        </w:rPr>
        <w:t>:</w:t>
      </w:r>
      <w:r>
        <w:rPr>
          <w:rFonts w:asciiTheme="majorHAnsi" w:eastAsiaTheme="majorEastAsia" w:hAnsiTheme="majorHAnsi" w:cstheme="majorBidi"/>
          <w:lang w:val="it-IT"/>
        </w:rPr>
        <w:t xml:space="preserve"> Ora concentriamoci sulle Cartelle Cliniche Elettroniche (EMR) e sui Fascicoli Sanitari Elettronici (EHR). Anche se questi termini vengono spesso usati come sinonimi, in realtà hanno significati diversi. Le EMR (Electronic </w:t>
      </w:r>
      <w:proofErr w:type="spellStart"/>
      <w:r>
        <w:rPr>
          <w:rFonts w:asciiTheme="majorHAnsi" w:eastAsiaTheme="majorEastAsia" w:hAnsiTheme="majorHAnsi" w:cstheme="majorBidi"/>
          <w:lang w:val="it-IT"/>
        </w:rPr>
        <w:t>Medical</w:t>
      </w:r>
      <w:proofErr w:type="spellEnd"/>
      <w:r>
        <w:rPr>
          <w:rFonts w:asciiTheme="majorHAnsi" w:eastAsiaTheme="majorEastAsia" w:hAnsiTheme="majorHAnsi" w:cstheme="majorBidi"/>
          <w:lang w:val="it-IT"/>
        </w:rPr>
        <w:t xml:space="preserve"> Records) sono versioni digitali delle cartelle cliniche cartacee utilizzate all’interno di uno studio medico o di un ospedale. Gli EHR (Electronic Health Records), invece, sono pensati per favorire la condivisione delle informazioni sanitarie tra diversi professionisti e strutture sanitarie, migliorando la diagnosi, i piani di cura e la qualità complessiva dell’assistenza.</w:t>
      </w:r>
    </w:p>
    <w:p w14:paraId="0235DB51"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15:</w:t>
      </w:r>
      <w:r>
        <w:rPr>
          <w:rFonts w:asciiTheme="majorHAnsi" w:eastAsiaTheme="majorEastAsia" w:hAnsiTheme="majorHAnsi" w:cstheme="majorBidi"/>
          <w:lang w:val="it-IT"/>
        </w:rPr>
        <w:t xml:space="preserve"> Per riassumere i principali componenti di un Fascicolo Sanitario Elettronico (EHR) sono: 1. </w:t>
      </w:r>
      <w:r>
        <w:rPr>
          <w:rFonts w:asciiTheme="majorHAnsi" w:eastAsiaTheme="majorEastAsia" w:hAnsiTheme="majorHAnsi" w:cstheme="majorBidi"/>
          <w:b/>
          <w:bCs/>
          <w:lang w:val="it-IT"/>
        </w:rPr>
        <w:t>Dati sanitari del paziente</w:t>
      </w:r>
      <w:r>
        <w:rPr>
          <w:rFonts w:asciiTheme="majorHAnsi" w:eastAsiaTheme="majorEastAsia" w:hAnsiTheme="majorHAnsi" w:cstheme="majorBidi"/>
          <w:lang w:val="it-IT"/>
        </w:rPr>
        <w:t xml:space="preserve">, inclusi anamnesi, diagnosi, esami, terapie e referti; 2. </w:t>
      </w:r>
      <w:r>
        <w:rPr>
          <w:rFonts w:asciiTheme="majorHAnsi" w:eastAsiaTheme="majorEastAsia" w:hAnsiTheme="majorHAnsi" w:cstheme="majorBidi"/>
          <w:b/>
          <w:bCs/>
          <w:lang w:val="it-IT"/>
        </w:rPr>
        <w:t>Sistemi di prescrizione ed inserimento ordini elettronici</w:t>
      </w:r>
      <w:r>
        <w:rPr>
          <w:rFonts w:asciiTheme="majorHAnsi" w:eastAsiaTheme="majorEastAsia" w:hAnsiTheme="majorHAnsi" w:cstheme="majorBidi"/>
          <w:lang w:val="it-IT"/>
        </w:rPr>
        <w:t xml:space="preserve">, per la richiesta di esami diagnostici, trattamenti e farmaci; 3. </w:t>
      </w:r>
      <w:r>
        <w:rPr>
          <w:rFonts w:asciiTheme="majorHAnsi" w:eastAsiaTheme="majorEastAsia" w:hAnsiTheme="majorHAnsi" w:cstheme="majorBidi"/>
          <w:b/>
          <w:bCs/>
          <w:lang w:val="it-IT"/>
        </w:rPr>
        <w:t>Sistemi di supporto alle decisioni cliniche</w:t>
      </w:r>
      <w:r>
        <w:rPr>
          <w:rFonts w:asciiTheme="majorHAnsi" w:eastAsiaTheme="majorEastAsia" w:hAnsiTheme="majorHAnsi" w:cstheme="majorBidi"/>
          <w:lang w:val="it-IT"/>
        </w:rPr>
        <w:t xml:space="preserve">, che offrono raccomandazioni basate su evidenze scientifiche; 4. </w:t>
      </w:r>
      <w:r>
        <w:rPr>
          <w:rFonts w:asciiTheme="majorHAnsi" w:eastAsiaTheme="majorEastAsia" w:hAnsiTheme="majorHAnsi" w:cstheme="majorBidi"/>
          <w:b/>
          <w:bCs/>
          <w:lang w:val="it-IT"/>
        </w:rPr>
        <w:t>Protocolli di sicurezza</w:t>
      </w:r>
      <w:r>
        <w:rPr>
          <w:rFonts w:asciiTheme="majorHAnsi" w:eastAsiaTheme="majorEastAsia" w:hAnsiTheme="majorHAnsi" w:cstheme="majorBidi"/>
          <w:lang w:val="it-IT"/>
        </w:rPr>
        <w:t xml:space="preserve">, per garantire la riservatezza e la protezione dei dati del paziente; 5. </w:t>
      </w:r>
      <w:r>
        <w:rPr>
          <w:rFonts w:asciiTheme="majorHAnsi" w:eastAsiaTheme="majorEastAsia" w:hAnsiTheme="majorHAnsi" w:cstheme="majorBidi"/>
          <w:b/>
          <w:bCs/>
          <w:lang w:val="it-IT"/>
        </w:rPr>
        <w:t>Strumenti di comunicazione</w:t>
      </w:r>
      <w:r>
        <w:rPr>
          <w:rFonts w:asciiTheme="majorHAnsi" w:eastAsiaTheme="majorEastAsia" w:hAnsiTheme="majorHAnsi" w:cstheme="majorBidi"/>
          <w:lang w:val="it-IT"/>
        </w:rPr>
        <w:t>, per facilitare il coordinamento tra i diversi professionisti e strutture del sistema sanitario. Questi elementi sono fondamentali per migliorare l’efficienza, la qualità e la continuità dell’assistenza sanitaria.</w:t>
      </w:r>
    </w:p>
    <w:p w14:paraId="672B51F8"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16:</w:t>
      </w:r>
      <w:r>
        <w:rPr>
          <w:rFonts w:asciiTheme="majorHAnsi" w:eastAsiaTheme="majorEastAsia" w:hAnsiTheme="majorHAnsi" w:cstheme="majorBidi"/>
          <w:lang w:val="it-IT"/>
        </w:rPr>
        <w:t xml:space="preserve"> I vantaggi di una piattaforma digitale per la salute ben progettata sono molteplici. Tra questi rientrano il miglioramento della qualità dell’assistenza, una maggiore efficienza dei processi sanitari, la </w:t>
      </w:r>
      <w:r>
        <w:rPr>
          <w:rFonts w:asciiTheme="majorHAnsi" w:eastAsiaTheme="majorEastAsia" w:hAnsiTheme="majorHAnsi" w:cstheme="majorBidi"/>
          <w:lang w:val="it-IT"/>
        </w:rPr>
        <w:lastRenderedPageBreak/>
        <w:t>sostenibilità dei costi e una più efficace aderenza alle linee guida cliniche. Inoltre, la disponibilità di dati sanitari affidabili e di qualità consente una programmazione sanitaria più efficace e una gestione più mirata delle risorse a livello regionale e nazionale.</w:t>
      </w:r>
    </w:p>
    <w:p w14:paraId="03F482FF"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17:</w:t>
      </w:r>
      <w:r>
        <w:rPr>
          <w:rFonts w:asciiTheme="majorHAnsi" w:eastAsiaTheme="majorEastAsia" w:hAnsiTheme="majorHAnsi" w:cstheme="majorBidi"/>
          <w:lang w:val="it-IT"/>
        </w:rPr>
        <w:t xml:space="preserve"> Rivisitando i pilastri del sistema sanitario, riflettiamo sul ruolo che la tecnologia digitale gioca in ciascuno di essi. In particolare, gli studi suggeriscono che le soluzioni digitali possano migliorare le competenze dei professionisti sanitari. Potete approfondire ulteriormente consultando la metanalisi di riferimento.</w:t>
      </w:r>
    </w:p>
    <w:p w14:paraId="56522A55"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18:</w:t>
      </w:r>
      <w:r>
        <w:rPr>
          <w:rFonts w:asciiTheme="majorHAnsi" w:eastAsiaTheme="majorEastAsia" w:hAnsiTheme="majorHAnsi" w:cstheme="majorBidi"/>
          <w:lang w:val="it-IT"/>
        </w:rPr>
        <w:t xml:space="preserve"> Tuttavia, è importante riconoscere le sfide/limitazioni della trasformazione digitale nei sistemi sanitari. Queste includono preoccupazioni per la privacy dei dati personali, l'aumento del carico di lavoro per gli operatori sanitari e il peso finanziario della costruzione di un'infrastruttura digitale nazionale.</w:t>
      </w:r>
    </w:p>
    <w:p w14:paraId="292ED37A"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19:</w:t>
      </w:r>
      <w:r>
        <w:rPr>
          <w:rFonts w:asciiTheme="majorHAnsi" w:eastAsiaTheme="majorEastAsia" w:hAnsiTheme="majorHAnsi" w:cstheme="majorBidi"/>
          <w:lang w:val="it-IT"/>
        </w:rPr>
        <w:t xml:space="preserve"> Quali sono le altre sfide che pensate possano accompagnare la trasformazione digitale della sanità? Sentitevi liberi di condurre una revisione della letteratura per esplorare ulteriormente questo aspetto.</w:t>
      </w:r>
    </w:p>
    <w:p w14:paraId="0473A593"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20:</w:t>
      </w:r>
      <w:r>
        <w:rPr>
          <w:rFonts w:asciiTheme="majorHAnsi" w:eastAsiaTheme="majorEastAsia" w:hAnsiTheme="majorHAnsi" w:cstheme="majorBidi"/>
          <w:lang w:val="it-IT"/>
        </w:rPr>
        <w:t xml:space="preserve"> Come si possono misurare le performance dei sistemi sanitari?</w:t>
      </w:r>
    </w:p>
    <w:p w14:paraId="63A398FF" w14:textId="77777777" w:rsidR="002B00A5" w:rsidRDefault="002B00A5" w:rsidP="002B00A5">
      <w:pPr>
        <w:spacing w:before="240" w:after="240"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21:</w:t>
      </w:r>
      <w:r>
        <w:rPr>
          <w:rFonts w:asciiTheme="majorHAnsi" w:eastAsiaTheme="majorEastAsia" w:hAnsiTheme="majorHAnsi" w:cstheme="majorBidi"/>
          <w:b/>
          <w:bCs/>
          <w:lang w:val="it-IT"/>
        </w:rPr>
        <w:t xml:space="preserve"> </w:t>
      </w:r>
      <w:r>
        <w:rPr>
          <w:rFonts w:asciiTheme="majorHAnsi" w:eastAsiaTheme="majorEastAsia" w:hAnsiTheme="majorHAnsi" w:cstheme="majorBidi"/>
          <w:lang w:val="it-IT"/>
        </w:rPr>
        <w:t>La valutazione delle performance di un sistema sanitario si basa su alcuni indicatori fondamentali, che permettono di analizzare quanto sia realmente efficace, efficiente ed economicamente sostenibile l’erogazione dei servizi. L’E</w:t>
      </w:r>
      <w:r>
        <w:rPr>
          <w:rFonts w:asciiTheme="majorHAnsi" w:eastAsiaTheme="majorEastAsia" w:hAnsiTheme="majorHAnsi" w:cstheme="majorBidi"/>
          <w:b/>
          <w:bCs/>
          <w:lang w:val="it-IT"/>
        </w:rPr>
        <w:t>fficacia</w:t>
      </w:r>
      <w:r>
        <w:rPr>
          <w:rFonts w:asciiTheme="majorHAnsi" w:eastAsiaTheme="majorEastAsia" w:hAnsiTheme="majorHAnsi" w:cstheme="majorBidi"/>
          <w:lang w:val="it-IT"/>
        </w:rPr>
        <w:t>: rappresenta la capacità del sistema sanitario di raggiungere gli obiettivi di salute prefissati. In altre parole, misura se i trattamenti e le cure offerte producono effettivamente benefici per i pazienti, contribuendo al miglioramento del loro stato di salute. L'e</w:t>
      </w:r>
      <w:r>
        <w:rPr>
          <w:rFonts w:asciiTheme="majorHAnsi" w:eastAsiaTheme="majorEastAsia" w:hAnsiTheme="majorHAnsi" w:cstheme="majorBidi"/>
          <w:b/>
          <w:bCs/>
          <w:lang w:val="it-IT"/>
        </w:rPr>
        <w:t>fficienza</w:t>
      </w:r>
      <w:r>
        <w:rPr>
          <w:rFonts w:asciiTheme="majorHAnsi" w:eastAsiaTheme="majorEastAsia" w:hAnsiTheme="majorHAnsi" w:cstheme="majorBidi"/>
          <w:lang w:val="it-IT"/>
        </w:rPr>
        <w:t>: riguarda l’uso ottimale delle risorse disponibili. Un sistema sanitario è efficiente quando riesce a garantire i risultati attesi minimizzando gli sprechi di tempo, risorse umane e mezzi materiali. L’e</w:t>
      </w:r>
      <w:r>
        <w:rPr>
          <w:rFonts w:asciiTheme="majorHAnsi" w:eastAsiaTheme="majorEastAsia" w:hAnsiTheme="majorHAnsi" w:cstheme="majorBidi"/>
          <w:b/>
          <w:bCs/>
          <w:lang w:val="it-IT"/>
        </w:rPr>
        <w:t>conomicità</w:t>
      </w:r>
      <w:r>
        <w:rPr>
          <w:rFonts w:asciiTheme="majorHAnsi" w:eastAsiaTheme="majorEastAsia" w:hAnsiTheme="majorHAnsi" w:cstheme="majorBidi"/>
          <w:lang w:val="it-IT"/>
        </w:rPr>
        <w:t>: si riferisce alla capacità del sistema di offrire servizi di qualità contenendo i costi. È un indicatore dell’equilibrio tra risorse impiegate e risultati ottenuti, in un’ottica di sostenibilità a lungo termine. Questi tre aspetti sono strettamente collegati e costituiscono la base per valutare in modo complessivo la performance del sistema sanitario, con l’obiettivo di migliorarne l’efficacia, ottimizzare i processi e garantire l’equità nell’accesso alle cure.</w:t>
      </w:r>
    </w:p>
    <w:p w14:paraId="16314901" w14:textId="77777777" w:rsidR="002B00A5" w:rsidRDefault="002B00A5" w:rsidP="002B00A5">
      <w:pPr>
        <w:spacing w:before="240" w:after="240"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22:</w:t>
      </w:r>
      <w:r>
        <w:rPr>
          <w:rFonts w:asciiTheme="majorHAnsi" w:eastAsiaTheme="majorEastAsia" w:hAnsiTheme="majorHAnsi" w:cstheme="majorBidi"/>
          <w:lang w:val="it-IT"/>
        </w:rPr>
        <w:t xml:space="preserve"> Nel valutare l’efficienza di un sistema sanitario, è utile distinguere due tipologie specifiche: efficienza tecnica ed efficienza allocativa. L’efficienza tecnica si riferisce alla capacità di ottenere un determinato risultato utilizzando il minimo indispensabile di risorse, con l’obiettivo di ridurre al massimo gli sprechi. L’efficienza allocativa, invece, riguarda l’uso ottimale delle risorse per produrre la combinazione migliore di risultati in termini di salute, tenendo conto del rapporto tra costi e benefici, con un impatto positivo sull’intera collettività.</w:t>
      </w:r>
    </w:p>
    <w:p w14:paraId="7BCA6115"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23:</w:t>
      </w:r>
      <w:r>
        <w:rPr>
          <w:rFonts w:asciiTheme="majorHAnsi" w:eastAsiaTheme="majorEastAsia" w:hAnsiTheme="majorHAnsi" w:cstheme="majorBidi"/>
          <w:lang w:val="it-IT"/>
        </w:rPr>
        <w:t xml:space="preserve"> Per chiarire, </w:t>
      </w:r>
      <w:r>
        <w:rPr>
          <w:rFonts w:asciiTheme="majorHAnsi" w:eastAsiaTheme="majorEastAsia" w:hAnsiTheme="majorHAnsi" w:cstheme="majorBidi"/>
          <w:b/>
          <w:bCs/>
          <w:lang w:val="it-IT"/>
        </w:rPr>
        <w:t>gli input</w:t>
      </w:r>
      <w:r>
        <w:rPr>
          <w:rFonts w:asciiTheme="majorHAnsi" w:eastAsiaTheme="majorEastAsia" w:hAnsiTheme="majorHAnsi" w:cstheme="majorBidi"/>
          <w:lang w:val="it-IT"/>
        </w:rPr>
        <w:t xml:space="preserve"> rappresentano la quantità e la qualità delle risorse fondamentali su cui si basa il sistema sanitario come personale, strutture, tecnologie e finanziamenti. </w:t>
      </w:r>
      <w:r>
        <w:rPr>
          <w:rFonts w:asciiTheme="majorHAnsi" w:eastAsiaTheme="majorEastAsia" w:hAnsiTheme="majorHAnsi" w:cstheme="majorBidi"/>
          <w:b/>
          <w:bCs/>
          <w:lang w:val="it-IT"/>
        </w:rPr>
        <w:t>Gli output</w:t>
      </w:r>
      <w:r>
        <w:rPr>
          <w:rFonts w:asciiTheme="majorHAnsi" w:eastAsiaTheme="majorEastAsia" w:hAnsiTheme="majorHAnsi" w:cstheme="majorBidi"/>
          <w:lang w:val="it-IT"/>
        </w:rPr>
        <w:t>, invece, sono i servizi e le prestazioni erogate dal sistema per raggiungere i propri obiettivi di salute</w:t>
      </w:r>
    </w:p>
    <w:p w14:paraId="1DFB6BE6"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24:</w:t>
      </w:r>
      <w:r>
        <w:rPr>
          <w:rFonts w:asciiTheme="majorHAnsi" w:eastAsiaTheme="majorEastAsia" w:hAnsiTheme="majorHAnsi" w:cstheme="majorBidi"/>
          <w:lang w:val="it-IT"/>
        </w:rPr>
        <w:t xml:space="preserve"> In conclusione, riflettete sui miglioramenti che avete visto nei sistemi sanitari nell'ultimo decennio. Quali credete siano le principali fonti di inefficienza nei sistemi sanitari moderni? Vi invitiamo a riflettere su questi aspetti.</w:t>
      </w:r>
    </w:p>
    <w:p w14:paraId="51672767"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25:</w:t>
      </w:r>
      <w:r>
        <w:rPr>
          <w:rFonts w:asciiTheme="majorHAnsi" w:eastAsiaTheme="majorEastAsia" w:hAnsiTheme="majorHAnsi" w:cstheme="majorBidi"/>
          <w:lang w:val="it-IT"/>
        </w:rPr>
        <w:t xml:space="preserve"> Nella prossima sezione di questo modulo di apprendimento, esploreremo le possibili risposte a queste domande, evidenziando le opportunità di miglioramento all’interno dei sistemi sanitari. Utilizzeremo un approccio basato su casi pratici per fornire spunti concreti alla discussione.</w:t>
      </w:r>
    </w:p>
    <w:p w14:paraId="7D5F73E1"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26:</w:t>
      </w:r>
      <w:r>
        <w:rPr>
          <w:rFonts w:asciiTheme="majorHAnsi" w:eastAsiaTheme="majorEastAsia" w:hAnsiTheme="majorHAnsi" w:cstheme="majorBidi"/>
          <w:lang w:val="it-IT"/>
        </w:rPr>
        <w:t xml:space="preserve"> Il caso riguarda un paziente maschio di 69 anni con una storia di diabete mellito di tipo 2 e ipertensione arteriosa. Un mese fa ha subito un infarto miocardico acuto e un intervento coronarico percutaneo (angioplastica con </w:t>
      </w:r>
      <w:proofErr w:type="spellStart"/>
      <w:r>
        <w:rPr>
          <w:rFonts w:asciiTheme="majorHAnsi" w:eastAsiaTheme="majorEastAsia" w:hAnsiTheme="majorHAnsi" w:cstheme="majorBidi"/>
          <w:lang w:val="it-IT"/>
        </w:rPr>
        <w:t>stent</w:t>
      </w:r>
      <w:proofErr w:type="spellEnd"/>
      <w:r>
        <w:rPr>
          <w:rFonts w:asciiTheme="majorHAnsi" w:eastAsiaTheme="majorEastAsia" w:hAnsiTheme="majorHAnsi" w:cstheme="majorBidi"/>
          <w:lang w:val="it-IT"/>
        </w:rPr>
        <w:t xml:space="preserve">). Risiede in un'area urbana vicino all'ospedale dove è stato trattato </w:t>
      </w:r>
      <w:r>
        <w:rPr>
          <w:rFonts w:asciiTheme="majorHAnsi" w:eastAsiaTheme="majorEastAsia" w:hAnsiTheme="majorHAnsi" w:cstheme="majorBidi"/>
          <w:lang w:val="it-IT"/>
        </w:rPr>
        <w:lastRenderedPageBreak/>
        <w:t xml:space="preserve">e dimesso. Attualmente, segue una doppia terapia </w:t>
      </w:r>
      <w:proofErr w:type="spellStart"/>
      <w:r>
        <w:rPr>
          <w:rFonts w:asciiTheme="majorHAnsi" w:eastAsiaTheme="majorEastAsia" w:hAnsiTheme="majorHAnsi" w:cstheme="majorBidi"/>
          <w:lang w:val="it-IT"/>
        </w:rPr>
        <w:t>antipiastrinica</w:t>
      </w:r>
      <w:proofErr w:type="spellEnd"/>
      <w:r>
        <w:rPr>
          <w:rFonts w:asciiTheme="majorHAnsi" w:eastAsiaTheme="majorEastAsia" w:hAnsiTheme="majorHAnsi" w:cstheme="majorBidi"/>
          <w:lang w:val="it-IT"/>
        </w:rPr>
        <w:t xml:space="preserve"> (DAPT) con aspirina a basso dosaggio e </w:t>
      </w:r>
      <w:proofErr w:type="spellStart"/>
      <w:r>
        <w:rPr>
          <w:rFonts w:asciiTheme="majorHAnsi" w:eastAsiaTheme="majorEastAsia" w:hAnsiTheme="majorHAnsi" w:cstheme="majorBidi"/>
          <w:lang w:val="it-IT"/>
        </w:rPr>
        <w:t>ticagrelor</w:t>
      </w:r>
      <w:proofErr w:type="spellEnd"/>
      <w:r>
        <w:rPr>
          <w:rFonts w:asciiTheme="majorHAnsi" w:eastAsiaTheme="majorEastAsia" w:hAnsiTheme="majorHAnsi" w:cstheme="majorBidi"/>
          <w:lang w:val="it-IT"/>
        </w:rPr>
        <w:t>, per ridurre il rischio di recidiva infartuale, con durata prevista di almeno un anno.</w:t>
      </w:r>
    </w:p>
    <w:p w14:paraId="51ED7A4B"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27:</w:t>
      </w:r>
      <w:r>
        <w:rPr>
          <w:rFonts w:asciiTheme="majorHAnsi" w:eastAsiaTheme="majorEastAsia" w:hAnsiTheme="majorHAnsi" w:cstheme="majorBidi"/>
          <w:lang w:val="it-IT"/>
        </w:rPr>
        <w:t xml:space="preserve"> Per fornire un contesto, una delle principali sfide in cardiologia è bilanciare i rischi trombotici </w:t>
      </w:r>
      <w:proofErr w:type="gramStart"/>
      <w:r>
        <w:rPr>
          <w:rFonts w:asciiTheme="majorHAnsi" w:eastAsiaTheme="majorEastAsia" w:hAnsiTheme="majorHAnsi" w:cstheme="majorBidi"/>
          <w:lang w:val="it-IT"/>
        </w:rPr>
        <w:t>e</w:t>
      </w:r>
      <w:proofErr w:type="gramEnd"/>
      <w:r>
        <w:rPr>
          <w:rFonts w:asciiTheme="majorHAnsi" w:eastAsiaTheme="majorEastAsia" w:hAnsiTheme="majorHAnsi" w:cstheme="majorBidi"/>
          <w:lang w:val="it-IT"/>
        </w:rPr>
        <w:t xml:space="preserve"> emorragici, specialmente dopo un infarto miocardico acuto. Interrompere la terapia </w:t>
      </w:r>
      <w:proofErr w:type="spellStart"/>
      <w:r>
        <w:rPr>
          <w:rFonts w:asciiTheme="majorHAnsi" w:eastAsiaTheme="majorEastAsia" w:hAnsiTheme="majorHAnsi" w:cstheme="majorBidi"/>
          <w:lang w:val="it-IT"/>
        </w:rPr>
        <w:t>antipiastrinica</w:t>
      </w:r>
      <w:proofErr w:type="spellEnd"/>
      <w:r>
        <w:rPr>
          <w:rFonts w:asciiTheme="majorHAnsi" w:eastAsiaTheme="majorEastAsia" w:hAnsiTheme="majorHAnsi" w:cstheme="majorBidi"/>
          <w:lang w:val="it-IT"/>
        </w:rPr>
        <w:t xml:space="preserve"> duplice nei primi tre mesi comporta un alto rischio di un altro evento cardiovascolare, mentre proseguirla aumenta il rischio di sanguinamento. Questo equilibrio diventa particolarmente critico se il paziente necessita di un intervento chirurgico.</w:t>
      </w:r>
    </w:p>
    <w:p w14:paraId="1E797D51" w14:textId="77777777" w:rsidR="002B00A5" w:rsidRDefault="002B00A5" w:rsidP="002B00A5">
      <w:pPr>
        <w:spacing w:before="240" w:after="240"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28:</w:t>
      </w:r>
      <w:r>
        <w:rPr>
          <w:rFonts w:asciiTheme="majorHAnsi" w:eastAsiaTheme="majorEastAsia" w:hAnsiTheme="majorHAnsi" w:cstheme="majorBidi"/>
          <w:lang w:val="it-IT"/>
        </w:rPr>
        <w:t xml:space="preserve"> Un mese dopo l'infarto miocardico, mentre si trova a casa, il paziente manifesta ematuria – sangue visibile nelle urine – e si reca al pronto soccorso urologico di un altro ospedale. Viene diagnosticato con un carcinoma della vescica, che richiede un intervento chirurgico urgente. Gli urologi gli consigliano di consultare il cardiologo per interrompere entrambe le terapie </w:t>
      </w:r>
      <w:proofErr w:type="spellStart"/>
      <w:r>
        <w:rPr>
          <w:rFonts w:asciiTheme="majorHAnsi" w:eastAsiaTheme="majorEastAsia" w:hAnsiTheme="majorHAnsi" w:cstheme="majorBidi"/>
          <w:lang w:val="it-IT"/>
        </w:rPr>
        <w:t>antipiastriniche</w:t>
      </w:r>
      <w:proofErr w:type="spellEnd"/>
      <w:r>
        <w:rPr>
          <w:rFonts w:asciiTheme="majorHAnsi" w:eastAsiaTheme="majorEastAsia" w:hAnsiTheme="majorHAnsi" w:cstheme="majorBidi"/>
          <w:lang w:val="it-IT"/>
        </w:rPr>
        <w:t xml:space="preserve"> prima dell'intervento, raccomandando l'uso di iniezioni di eparina a basso peso molecolare come sostituto, per ridurre il rischio di sanguinamento.</w:t>
      </w:r>
    </w:p>
    <w:p w14:paraId="35C95FBF"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29</w:t>
      </w:r>
      <w:r>
        <w:rPr>
          <w:rFonts w:asciiTheme="majorHAnsi" w:eastAsiaTheme="majorEastAsia" w:hAnsiTheme="majorHAnsi" w:cstheme="majorBidi"/>
          <w:b/>
          <w:bCs/>
          <w:lang w:val="it-IT"/>
        </w:rPr>
        <w:t>:</w:t>
      </w:r>
      <w:r>
        <w:rPr>
          <w:rFonts w:asciiTheme="majorHAnsi" w:eastAsiaTheme="majorEastAsia" w:hAnsiTheme="majorHAnsi" w:cstheme="majorBidi"/>
          <w:lang w:val="it-IT"/>
        </w:rPr>
        <w:t xml:space="preserve"> Il paziente si trova ad affrontare diversi ostacoli nel contattare il suo cardiologo. Nonostante numerosi tentativi telefonici, le linee sono occupate o non riceve risposta. La sua limitata alfabetizzazione digitale complica ulteriormente gli sforzi per prenotare un appuntamento online. Alla fine, quando riesce a mettersi in contatto telefonico, gli viene detto di richiamare il primo del mese successivo, tra 18 giorni, poiché in quella data saranno disponibili nuovi appuntamenti. Viene anche avvertito della lunga lista di attesa.</w:t>
      </w:r>
    </w:p>
    <w:p w14:paraId="096AFBA1"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30:</w:t>
      </w:r>
      <w:r>
        <w:rPr>
          <w:rFonts w:asciiTheme="majorHAnsi" w:eastAsiaTheme="majorEastAsia" w:hAnsiTheme="majorHAnsi" w:cstheme="majorBidi"/>
          <w:lang w:val="it-IT"/>
        </w:rPr>
        <w:t xml:space="preserve"> Frustrato, il paziente decide di recarsi personalmente dal medico. Dopo aver atteso per diverse ore, finalmente viene ricevuto dal suo cardiologo, che lo informa che interrompere entrambe le anti-piastriniche è rischioso, poiché l'eparina a basso peso molecolare non è un sostituto adeguato. Il cardiologo consiglia al paziente di fare in modo che l'urologo lo contatti direttamente per una decisione condivisa e fornisce una lettera di referenza. Nonostante comprenda le istruzioni, il paziente si sente frustrato e confuso dalle opinioni contrastanti.</w:t>
      </w:r>
    </w:p>
    <w:p w14:paraId="68440FC6"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31:</w:t>
      </w:r>
      <w:r>
        <w:rPr>
          <w:rFonts w:asciiTheme="majorHAnsi" w:eastAsiaTheme="majorEastAsia" w:hAnsiTheme="majorHAnsi" w:cstheme="majorBidi"/>
          <w:lang w:val="it-IT"/>
        </w:rPr>
        <w:t xml:space="preserve"> Prima di proseguire, vi invitiamo a riflettere: quanto sono comuni scenari come questo nei sistemi sanitari moderni? Quali debolezze del sistema sanitario emergono da questo caso?</w:t>
      </w:r>
    </w:p>
    <w:p w14:paraId="161E194A"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32:</w:t>
      </w:r>
      <w:r>
        <w:rPr>
          <w:rFonts w:asciiTheme="majorHAnsi" w:eastAsiaTheme="majorEastAsia" w:hAnsiTheme="majorHAnsi" w:cstheme="majorBidi"/>
          <w:lang w:val="it-IT"/>
        </w:rPr>
        <w:t xml:space="preserve"> Il caso che abbiamo presentato evidenzia un problema significativo nella sanità contemporanea: la frammentazione delle cure. La frammentazione delle cure si verifica quando i vari operatori sanitari, come ospedali, medici di base, specialisti, laboratori e farmacie, non sono adeguatamente coordinati tra loro. In altre parole, manca una comunicazione e una collaborazione efficiente tra le diverse strutture e professionisti, il che può comportare difficoltà nel trattamento del paziente, errori e inefficienze nell’erogazione delle cure necessarie. Il rischio di frammentazione aumenta quando le singole strutture e i professionisti operano in modo indipendente, senza condividere informazioni importanti, compromettendo così la continuità e la qualità delle cure.</w:t>
      </w:r>
    </w:p>
    <w:p w14:paraId="1BBCF71D" w14:textId="77777777" w:rsidR="002B00A5" w:rsidRDefault="002B00A5" w:rsidP="002B00A5">
      <w:pPr>
        <w:spacing w:before="240" w:after="240"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33:</w:t>
      </w:r>
      <w:r>
        <w:rPr>
          <w:rFonts w:asciiTheme="majorHAnsi" w:eastAsiaTheme="majorEastAsia" w:hAnsiTheme="majorHAnsi" w:cstheme="majorBidi"/>
          <w:lang w:val="it-IT"/>
        </w:rPr>
        <w:t xml:space="preserve"> La frammentazione dell'assistenza sanitaria è causata da diversi fattori, tra cui: </w:t>
      </w:r>
      <w:r>
        <w:rPr>
          <w:rFonts w:asciiTheme="majorHAnsi" w:eastAsiaTheme="majorEastAsia" w:hAnsiTheme="majorHAnsi" w:cstheme="majorBidi"/>
          <w:b/>
          <w:bCs/>
          <w:lang w:val="it-IT"/>
        </w:rPr>
        <w:t>Iper-specializzazione</w:t>
      </w:r>
      <w:r>
        <w:rPr>
          <w:rFonts w:asciiTheme="majorHAnsi" w:eastAsiaTheme="majorEastAsia" w:hAnsiTheme="majorHAnsi" w:cstheme="majorBidi"/>
          <w:lang w:val="it-IT"/>
        </w:rPr>
        <w:t xml:space="preserve">, che limita la visione globale del paziente; </w:t>
      </w:r>
      <w:r>
        <w:rPr>
          <w:rFonts w:asciiTheme="majorHAnsi" w:eastAsiaTheme="majorEastAsia" w:hAnsiTheme="majorHAnsi" w:cstheme="majorBidi"/>
          <w:b/>
          <w:bCs/>
          <w:lang w:val="it-IT"/>
        </w:rPr>
        <w:t>Mancanza di responsabilità condivisa</w:t>
      </w:r>
      <w:r>
        <w:rPr>
          <w:rFonts w:asciiTheme="majorHAnsi" w:eastAsiaTheme="majorEastAsia" w:hAnsiTheme="majorHAnsi" w:cstheme="majorBidi"/>
          <w:lang w:val="it-IT"/>
        </w:rPr>
        <w:t xml:space="preserve"> tra i professionisti, creando disorganizzazione; </w:t>
      </w:r>
      <w:r>
        <w:rPr>
          <w:rFonts w:asciiTheme="majorHAnsi" w:eastAsiaTheme="majorEastAsia" w:hAnsiTheme="majorHAnsi" w:cstheme="majorBidi"/>
          <w:b/>
          <w:bCs/>
          <w:lang w:val="it-IT"/>
        </w:rPr>
        <w:t>Scarsa comunicazione</w:t>
      </w:r>
      <w:r>
        <w:rPr>
          <w:rFonts w:asciiTheme="majorHAnsi" w:eastAsiaTheme="majorEastAsia" w:hAnsiTheme="majorHAnsi" w:cstheme="majorBidi"/>
          <w:lang w:val="it-IT"/>
        </w:rPr>
        <w:t xml:space="preserve"> tra i vari operatori sanitari, che può portare a errori; </w:t>
      </w:r>
      <w:r>
        <w:rPr>
          <w:rFonts w:asciiTheme="majorHAnsi" w:eastAsiaTheme="majorEastAsia" w:hAnsiTheme="majorHAnsi" w:cstheme="majorBidi"/>
          <w:b/>
          <w:bCs/>
          <w:lang w:val="it-IT"/>
        </w:rPr>
        <w:t>Carenza di tempo e risorse</w:t>
      </w:r>
      <w:r>
        <w:rPr>
          <w:rFonts w:asciiTheme="majorHAnsi" w:eastAsiaTheme="majorEastAsia" w:hAnsiTheme="majorHAnsi" w:cstheme="majorBidi"/>
          <w:lang w:val="it-IT"/>
        </w:rPr>
        <w:t>, che riduce la qualità delle cure. Questi fattori, soprattutto in casi complessi, possono compromettere la qualità dell’assistenza e peggiorare gli esiti del trattamento, aumentando i rischi per il paziente.</w:t>
      </w:r>
    </w:p>
    <w:p w14:paraId="3B60D519" w14:textId="76DEFEEA" w:rsidR="002B00A5" w:rsidRDefault="002B00A5" w:rsidP="002B00A5">
      <w:pPr>
        <w:spacing w:before="240" w:after="240"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34</w:t>
      </w:r>
      <w:r>
        <w:rPr>
          <w:rFonts w:eastAsiaTheme="majorEastAsia" w:cstheme="minorHAnsi"/>
          <w:b/>
          <w:color w:val="2E74B5" w:themeColor="accent1" w:themeShade="BF"/>
        </w:rPr>
        <w:t>:</w:t>
      </w:r>
      <w:r w:rsidRPr="002B00A5">
        <w:rPr>
          <w:rFonts w:eastAsiaTheme="majorEastAsia" w:cstheme="minorHAnsi"/>
          <w:b/>
          <w:color w:val="2E74B5" w:themeColor="accent1" w:themeShade="BF"/>
        </w:rPr>
        <w:t xml:space="preserve"> </w:t>
      </w:r>
      <w:r w:rsidRPr="002B00A5">
        <w:rPr>
          <w:rFonts w:eastAsiaTheme="majorEastAsia" w:cstheme="minorHAnsi"/>
          <w:bCs/>
        </w:rPr>
        <w:t>I</w:t>
      </w:r>
      <w:r>
        <w:rPr>
          <w:rFonts w:asciiTheme="majorHAnsi" w:eastAsiaTheme="majorEastAsia" w:hAnsiTheme="majorHAnsi" w:cstheme="majorBidi"/>
          <w:lang w:val="it-IT"/>
        </w:rPr>
        <w:t xml:space="preserve"> pazienti con più patologie croniche, come nel nostro caso, sono particolarmente vulnerabili agli effetti negativi delle cure frammentate. Coordinare il loro trattamento diventa difficile a causa dei numerosi medici coinvolti, degli appuntamenti frequenti e dei rinvii, il che può portare a servizi duplicati ed a inefficienze in un sistema sanitario.</w:t>
      </w:r>
    </w:p>
    <w:p w14:paraId="0CDBF774"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lastRenderedPageBreak/>
        <w:t>Slide 35:</w:t>
      </w:r>
      <w:r>
        <w:rPr>
          <w:rFonts w:asciiTheme="majorHAnsi" w:eastAsiaTheme="majorEastAsia" w:hAnsiTheme="majorHAnsi" w:cstheme="majorBidi"/>
          <w:lang w:val="it-IT"/>
        </w:rPr>
        <w:t xml:space="preserve"> La frammentazione dell’assistenza sanitaria ha effetti negativi evidenti, tra cui l’inefficienza economica, le disuguaglianze sanitarie e la perdita della centralità del paziente nel percorso di cura. Una scarsa continuità assistenziale è anche correlata a un aumento dei ricoveri ospedalieri, all’uso improprio dei farmaci e a una maggiore mortalità.</w:t>
      </w:r>
    </w:p>
    <w:p w14:paraId="6DB0C8AC"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36:</w:t>
      </w:r>
      <w:r>
        <w:rPr>
          <w:rFonts w:asciiTheme="majorHAnsi" w:eastAsiaTheme="majorEastAsia" w:hAnsiTheme="majorHAnsi" w:cstheme="majorBidi"/>
          <w:lang w:val="it-IT"/>
        </w:rPr>
        <w:t xml:space="preserve"> Esiste un paradosso per cui l'iper-specializzazione è un fattore chiave della frammentazione delle cure. Essa porta a uno squilibrio tra specialisti e professionisti sanitari con competenze </w:t>
      </w:r>
      <w:proofErr w:type="gramStart"/>
      <w:r>
        <w:rPr>
          <w:rFonts w:asciiTheme="majorHAnsi" w:eastAsiaTheme="majorEastAsia" w:hAnsiTheme="majorHAnsi" w:cstheme="majorBidi"/>
          <w:lang w:val="it-IT"/>
        </w:rPr>
        <w:t>generiche..</w:t>
      </w:r>
      <w:proofErr w:type="gramEnd"/>
      <w:r>
        <w:rPr>
          <w:rFonts w:asciiTheme="majorHAnsi" w:eastAsiaTheme="majorEastAsia" w:hAnsiTheme="majorHAnsi" w:cstheme="majorBidi"/>
          <w:lang w:val="it-IT"/>
        </w:rPr>
        <w:t xml:space="preserve"> Nel caso presentato, gli effetti negativi dell'iper-specializzazione sono evidenti nella mancanza di coordinamento delle cure tra cardiologia e urologia.</w:t>
      </w:r>
    </w:p>
    <w:p w14:paraId="320F5CC8" w14:textId="38AB93F0"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37</w:t>
      </w:r>
      <w:r>
        <w:rPr>
          <w:rFonts w:eastAsiaTheme="majorEastAsia" w:cstheme="minorHAnsi"/>
          <w:b/>
          <w:color w:val="2E74B5" w:themeColor="accent1" w:themeShade="BF"/>
        </w:rPr>
        <w:t>:</w:t>
      </w:r>
      <w:r>
        <w:rPr>
          <w:rFonts w:asciiTheme="majorHAnsi" w:eastAsiaTheme="majorEastAsia" w:hAnsiTheme="majorHAnsi" w:cstheme="majorBidi"/>
          <w:b/>
          <w:bCs/>
          <w:lang w:val="it-IT"/>
        </w:rPr>
        <w:t xml:space="preserve"> </w:t>
      </w:r>
      <w:r>
        <w:rPr>
          <w:rFonts w:asciiTheme="majorHAnsi" w:eastAsiaTheme="majorEastAsia" w:hAnsiTheme="majorHAnsi" w:cstheme="majorBidi"/>
          <w:lang w:val="it-IT"/>
        </w:rPr>
        <w:t xml:space="preserve">Tornando al caso del nostro paziente, le linee guida cliniche raccomandano di evitare l'interruzione dell'aspirina, l’interruzione dell’aspirina, salvo che il rischio emorragico dell'intervento non sia eccessivo. In questo caso, il giudizio del chirurgo (urologo) è cruciale e deve essere condiviso tempestivamente con </w:t>
      </w:r>
      <w:proofErr w:type="gramStart"/>
      <w:r>
        <w:rPr>
          <w:rFonts w:asciiTheme="majorHAnsi" w:eastAsiaTheme="majorEastAsia" w:hAnsiTheme="majorHAnsi" w:cstheme="majorBidi"/>
          <w:lang w:val="it-IT"/>
        </w:rPr>
        <w:t>il team assistenziale</w:t>
      </w:r>
      <w:proofErr w:type="gramEnd"/>
      <w:r>
        <w:rPr>
          <w:rFonts w:asciiTheme="majorHAnsi" w:eastAsiaTheme="majorEastAsia" w:hAnsiTheme="majorHAnsi" w:cstheme="majorBidi"/>
          <w:lang w:val="it-IT"/>
        </w:rPr>
        <w:t>. Se necessario, l’agente antitrombotico preferito per il "</w:t>
      </w:r>
      <w:proofErr w:type="spellStart"/>
      <w:r>
        <w:rPr>
          <w:rFonts w:asciiTheme="majorHAnsi" w:eastAsiaTheme="majorEastAsia" w:hAnsiTheme="majorHAnsi" w:cstheme="majorBidi"/>
          <w:lang w:val="it-IT"/>
        </w:rPr>
        <w:t>bridging</w:t>
      </w:r>
      <w:proofErr w:type="spellEnd"/>
      <w:r>
        <w:rPr>
          <w:rFonts w:asciiTheme="majorHAnsi" w:eastAsiaTheme="majorEastAsia" w:hAnsiTheme="majorHAnsi" w:cstheme="majorBidi"/>
          <w:lang w:val="it-IT"/>
        </w:rPr>
        <w:t xml:space="preserve">" durante la sospensione </w:t>
      </w:r>
      <w:proofErr w:type="spellStart"/>
      <w:r>
        <w:rPr>
          <w:rFonts w:asciiTheme="majorHAnsi" w:eastAsiaTheme="majorEastAsia" w:hAnsiTheme="majorHAnsi" w:cstheme="majorBidi"/>
          <w:lang w:val="it-IT"/>
        </w:rPr>
        <w:t>perioperatoria</w:t>
      </w:r>
      <w:proofErr w:type="spellEnd"/>
      <w:r>
        <w:rPr>
          <w:rFonts w:asciiTheme="majorHAnsi" w:eastAsiaTheme="majorEastAsia" w:hAnsiTheme="majorHAnsi" w:cstheme="majorBidi"/>
          <w:lang w:val="it-IT"/>
        </w:rPr>
        <w:t xml:space="preserve"> della DAPT è il </w:t>
      </w:r>
      <w:proofErr w:type="spellStart"/>
      <w:r>
        <w:rPr>
          <w:rFonts w:asciiTheme="majorHAnsi" w:eastAsiaTheme="majorEastAsia" w:hAnsiTheme="majorHAnsi" w:cstheme="majorBidi"/>
          <w:lang w:val="it-IT"/>
        </w:rPr>
        <w:t>cangrelor</w:t>
      </w:r>
      <w:proofErr w:type="spellEnd"/>
      <w:r>
        <w:rPr>
          <w:rFonts w:asciiTheme="majorHAnsi" w:eastAsiaTheme="majorEastAsia" w:hAnsiTheme="majorHAnsi" w:cstheme="majorBidi"/>
          <w:lang w:val="it-IT"/>
        </w:rPr>
        <w:t>, somministrato tramite infusione endovenosa continua.</w:t>
      </w:r>
    </w:p>
    <w:p w14:paraId="12672685" w14:textId="2957436B"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38</w:t>
      </w:r>
      <w:r>
        <w:rPr>
          <w:rFonts w:eastAsiaTheme="majorEastAsia" w:cstheme="minorHAnsi"/>
          <w:b/>
          <w:color w:val="2E74B5" w:themeColor="accent1" w:themeShade="BF"/>
        </w:rPr>
        <w:t>:</w:t>
      </w:r>
      <w:r>
        <w:rPr>
          <w:rFonts w:asciiTheme="majorHAnsi" w:eastAsiaTheme="majorEastAsia" w:hAnsiTheme="majorHAnsi" w:cstheme="majorBidi"/>
          <w:b/>
          <w:bCs/>
          <w:lang w:val="it-IT"/>
        </w:rPr>
        <w:t xml:space="preserve"> </w:t>
      </w:r>
      <w:r>
        <w:rPr>
          <w:rFonts w:asciiTheme="majorHAnsi" w:eastAsiaTheme="majorEastAsia" w:hAnsiTheme="majorHAnsi" w:cstheme="majorBidi"/>
          <w:lang w:val="it-IT"/>
        </w:rPr>
        <w:t xml:space="preserve">È stato raggiunto un accordo inter-specialistico sul piano terapeutico, che prevedeva la sospensione della DAPT 5 giorni prima dell'intervento e il ricovero in Urologia 2 giorni prima per l'infusione di </w:t>
      </w:r>
      <w:proofErr w:type="spellStart"/>
      <w:r>
        <w:rPr>
          <w:rFonts w:asciiTheme="majorHAnsi" w:eastAsiaTheme="majorEastAsia" w:hAnsiTheme="majorHAnsi" w:cstheme="majorBidi"/>
          <w:lang w:val="it-IT"/>
        </w:rPr>
        <w:t>cangrelor</w:t>
      </w:r>
      <w:proofErr w:type="spellEnd"/>
      <w:r>
        <w:rPr>
          <w:rFonts w:asciiTheme="majorHAnsi" w:eastAsiaTheme="majorEastAsia" w:hAnsiTheme="majorHAnsi" w:cstheme="majorBidi"/>
          <w:lang w:val="it-IT"/>
        </w:rPr>
        <w:t xml:space="preserve">. Tuttavia, il personale infermieristico di Urologia, non familiarizzando con il farmaco, ha suggerito di trasferire il paziente in Cardiologia, creando tensioni relazionali tra </w:t>
      </w:r>
      <w:proofErr w:type="gramStart"/>
      <w:r>
        <w:rPr>
          <w:rFonts w:asciiTheme="majorHAnsi" w:eastAsiaTheme="majorEastAsia" w:hAnsiTheme="majorHAnsi" w:cstheme="majorBidi"/>
          <w:lang w:val="it-IT"/>
        </w:rPr>
        <w:t>i team</w:t>
      </w:r>
      <w:proofErr w:type="gramEnd"/>
      <w:r>
        <w:rPr>
          <w:rFonts w:asciiTheme="majorHAnsi" w:eastAsiaTheme="majorEastAsia" w:hAnsiTheme="majorHAnsi" w:cstheme="majorBidi"/>
          <w:lang w:val="it-IT"/>
        </w:rPr>
        <w:t xml:space="preserve"> medici e organizzative tra le due unità.</w:t>
      </w:r>
    </w:p>
    <w:p w14:paraId="1A3D8932"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39:</w:t>
      </w:r>
      <w:r>
        <w:rPr>
          <w:rFonts w:asciiTheme="majorHAnsi" w:eastAsiaTheme="majorEastAsia" w:hAnsiTheme="majorHAnsi" w:cstheme="majorBidi"/>
          <w:lang w:val="it-IT"/>
        </w:rPr>
        <w:t xml:space="preserve"> Questo caso ci porta a riflettere su un tema più ampio: i conflitti interprofessionali all'interno dei sistemi sanitari. Tra i fattori che contribuiscono a questi conflitti ci sono la complessità organizzativa, la divisione dei ruoli poco chiara, la competizione interdipartimentale e le differenze di personalità. Tali conflitti possono ostacolare la fornitura di cure efficaci, compromettendo la qualità del trattamento e la collaborazione tra i professionisti.</w:t>
      </w:r>
    </w:p>
    <w:p w14:paraId="45C50494"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40:</w:t>
      </w:r>
      <w:r>
        <w:rPr>
          <w:rFonts w:asciiTheme="majorHAnsi" w:eastAsiaTheme="majorEastAsia" w:hAnsiTheme="majorHAnsi" w:cstheme="majorBidi"/>
          <w:lang w:val="it-IT"/>
        </w:rPr>
        <w:t xml:space="preserve"> Qual è stata la vostra esperienza con la collaborazione interprofessionale nella sanità? Potreste effettuare una ricerca online o una revisione della letteratura sulle strategie per migliorare la collaborazione tra i professionisti sanitari.</w:t>
      </w:r>
    </w:p>
    <w:p w14:paraId="324D6B32"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41:</w:t>
      </w:r>
      <w:r>
        <w:rPr>
          <w:rFonts w:asciiTheme="majorHAnsi" w:eastAsiaTheme="majorEastAsia" w:hAnsiTheme="majorHAnsi" w:cstheme="majorBidi"/>
          <w:lang w:val="it-IT"/>
        </w:rPr>
        <w:t xml:space="preserve"> Quindi, cosa si può fare per migliorare la collaborazione interprofessionale nella sanità? secondo la Cochrane review, le strategie per migliorare la collaborazione interprofessionale nel contesto sanitario includono attività interprofessionali come la pianificazione </w:t>
      </w:r>
      <w:proofErr w:type="gramStart"/>
      <w:r>
        <w:rPr>
          <w:rFonts w:asciiTheme="majorHAnsi" w:eastAsiaTheme="majorEastAsia" w:hAnsiTheme="majorHAnsi" w:cstheme="majorBidi"/>
          <w:lang w:val="it-IT"/>
        </w:rPr>
        <w:t>del team</w:t>
      </w:r>
      <w:proofErr w:type="gramEnd"/>
      <w:r>
        <w:rPr>
          <w:rFonts w:asciiTheme="majorHAnsi" w:eastAsiaTheme="majorEastAsia" w:hAnsiTheme="majorHAnsi" w:cstheme="majorBidi"/>
          <w:lang w:val="it-IT"/>
        </w:rPr>
        <w:t>, i rounds, le riunioni e le liste di controllo. Le evidenze suggeriscono che tali strategie possono migliorare leggermente l'assistenza al paziente, l'aderenza alle pratiche raccomandate e l'uso delle risorse sanitarie.</w:t>
      </w:r>
    </w:p>
    <w:p w14:paraId="5F16374D"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42:</w:t>
      </w:r>
      <w:r>
        <w:rPr>
          <w:rFonts w:asciiTheme="majorHAnsi" w:eastAsiaTheme="majorEastAsia" w:hAnsiTheme="majorHAnsi" w:cstheme="majorBidi"/>
          <w:lang w:val="it-IT"/>
        </w:rPr>
        <w:t xml:space="preserve"> Man mano che ci avviciniamo alla fine di questa lezione, ci concentreremo su come le soluzioni digitali possano contribuire a migliorare la collaborazione interdisciplinare all'interno dei sistemi sanitari.</w:t>
      </w:r>
    </w:p>
    <w:p w14:paraId="72547284"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43:</w:t>
      </w:r>
      <w:r>
        <w:rPr>
          <w:rFonts w:asciiTheme="majorHAnsi" w:eastAsiaTheme="majorEastAsia" w:hAnsiTheme="majorHAnsi" w:cstheme="majorBidi"/>
          <w:lang w:val="it-IT"/>
        </w:rPr>
        <w:t xml:space="preserve"> La collaborazione tra infermieri e medici è la relazione interprofessionale più studiata nella sanità. Le ricerche suggeriscono che le visite interprofessionali al letto del paziente migliorano il lavoro di squadra e le cure ai pazienti. Tuttavia, le barriere logistiche spesso ne impediscono l'implementazione. Qui, le tecnologie digitali, come le applicazioni mobili, sono state proposte come soluzioni, riducendo i tempi di attesa e migliorando la comunicazione tra infermieri e medici.</w:t>
      </w:r>
    </w:p>
    <w:p w14:paraId="2CBA2139"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44:</w:t>
      </w:r>
      <w:r>
        <w:rPr>
          <w:rFonts w:asciiTheme="majorHAnsi" w:eastAsiaTheme="majorEastAsia" w:hAnsiTheme="majorHAnsi" w:cstheme="majorBidi"/>
          <w:lang w:val="it-IT"/>
        </w:rPr>
        <w:t xml:space="preserve"> Uno studio di riferimento ha valutato l'uso di un'applicazione mobile per migliorare la collaborazione tra medici e infermieri. L'app, che consentiva la messaggistica sicura e la telefonia, ha aumentato le visite interprofessionali al letto del paziente di oltre il 20% in 16 mesi, dimostrando il potenziale degli strumenti digitali per colmare le lacune nella coordinazione.</w:t>
      </w:r>
    </w:p>
    <w:p w14:paraId="7B995781"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lastRenderedPageBreak/>
        <w:t>Slide 45:</w:t>
      </w:r>
      <w:r>
        <w:rPr>
          <w:rFonts w:asciiTheme="majorHAnsi" w:eastAsiaTheme="majorEastAsia" w:hAnsiTheme="majorHAnsi" w:cstheme="majorBidi"/>
          <w:lang w:val="it-IT"/>
        </w:rPr>
        <w:t xml:space="preserve"> Nel caso che abbiamo presentato prima, come potrebbe essere utilizzata la tecnologia digitale per risolvere i problemi di collaborazione emersi? Considerate come questi strumenti potrebbero semplificare la comunicazione tra i diversi professionisti sanitari.</w:t>
      </w:r>
    </w:p>
    <w:p w14:paraId="44BEDADC"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46:</w:t>
      </w:r>
      <w:r>
        <w:rPr>
          <w:rFonts w:asciiTheme="majorHAnsi" w:eastAsiaTheme="majorEastAsia" w:hAnsiTheme="majorHAnsi" w:cstheme="majorBidi"/>
          <w:lang w:val="it-IT"/>
        </w:rPr>
        <w:t xml:space="preserve"> In conclusione, questo modulo sottolinea come la frammentazione delle cure influenzi gli esiti dei pazienti, in particolare nei casi complessi. Migliorare la comunicazione, la collaborazione e l'uso degli strumenti digitali può ridurre le inefficienze, migliorare la sicurezza del paziente e promuovere cure più coese. Affrontare queste problematiche è essenziale per migliorare gli esiti della sanità moderna.</w:t>
      </w:r>
    </w:p>
    <w:p w14:paraId="68DF1272"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47:</w:t>
      </w:r>
      <w:r>
        <w:rPr>
          <w:rFonts w:asciiTheme="majorHAnsi" w:eastAsiaTheme="majorEastAsia" w:hAnsiTheme="majorHAnsi" w:cstheme="majorBidi"/>
          <w:lang w:val="it-IT"/>
        </w:rPr>
        <w:t xml:space="preserve"> Qui troverete i riferimenti alla letteratura su cui si basa questo contenuto, nonché link utili a pagine web dove potrete esplorare gli argomenti trattati in modo più approfondito.</w:t>
      </w:r>
    </w:p>
    <w:p w14:paraId="50D3882A" w14:textId="77777777" w:rsidR="002B00A5" w:rsidRDefault="002B00A5" w:rsidP="002B00A5">
      <w:pPr>
        <w:spacing w:line="240" w:lineRule="auto"/>
        <w:jc w:val="both"/>
        <w:rPr>
          <w:rFonts w:asciiTheme="majorHAnsi" w:eastAsiaTheme="majorEastAsia" w:hAnsiTheme="majorHAnsi" w:cstheme="majorBidi"/>
          <w:lang w:val="it-IT"/>
        </w:rPr>
      </w:pPr>
      <w:r w:rsidRPr="002B00A5">
        <w:rPr>
          <w:rFonts w:eastAsiaTheme="majorEastAsia" w:cstheme="minorHAnsi"/>
          <w:b/>
          <w:color w:val="2E74B5" w:themeColor="accent1" w:themeShade="BF"/>
        </w:rPr>
        <w:t>Slide 50:</w:t>
      </w:r>
      <w:r>
        <w:rPr>
          <w:rFonts w:asciiTheme="majorHAnsi" w:eastAsiaTheme="majorEastAsia" w:hAnsiTheme="majorHAnsi" w:cstheme="majorBidi"/>
          <w:b/>
          <w:bCs/>
          <w:lang w:val="it-IT"/>
        </w:rPr>
        <w:t xml:space="preserve"> </w:t>
      </w:r>
      <w:r>
        <w:rPr>
          <w:rFonts w:asciiTheme="majorHAnsi" w:eastAsiaTheme="majorEastAsia" w:hAnsiTheme="majorHAnsi" w:cstheme="majorBidi"/>
          <w:lang w:val="it-IT"/>
        </w:rPr>
        <w:t>Grazie per l'attenzione! Speriamo che questa lezione vi abbia fornito preziose informazioni sulla struttura, le sfide e le opportunità di miglioramento nei sistemi sanitari.</w:t>
      </w:r>
    </w:p>
    <w:p w14:paraId="60484946" w14:textId="77777777" w:rsidR="00A64800" w:rsidRDefault="00A64800" w:rsidP="00EC0C4F"/>
    <w:p w14:paraId="34EC5428" w14:textId="696550C1" w:rsidR="00F105EE" w:rsidRDefault="00F105EE" w:rsidP="00EC0C4F"/>
    <w:p w14:paraId="6ED7EE3A" w14:textId="6CDB1969" w:rsidR="00F105EE" w:rsidRDefault="00F105EE" w:rsidP="00EC0C4F"/>
    <w:p w14:paraId="2C6AB22E" w14:textId="14424AE2" w:rsidR="00F105EE" w:rsidRDefault="00F105EE" w:rsidP="00EC0C4F"/>
    <w:p w14:paraId="4E3F6E1B" w14:textId="726FEFE0" w:rsidR="00F105EE" w:rsidRDefault="00F105EE" w:rsidP="00EC0C4F"/>
    <w:p w14:paraId="4B525E0F" w14:textId="31EF3EB1" w:rsidR="00F105EE" w:rsidRDefault="00F105EE" w:rsidP="00EC0C4F"/>
    <w:p w14:paraId="4244CC97" w14:textId="646990D9" w:rsidR="00F105EE" w:rsidRDefault="00F105EE" w:rsidP="00EC0C4F"/>
    <w:p w14:paraId="40E6C66C" w14:textId="70570528" w:rsidR="00F105EE" w:rsidRDefault="00F105EE" w:rsidP="00EC0C4F"/>
    <w:p w14:paraId="556DCD43" w14:textId="70685562" w:rsidR="00F105EE" w:rsidRDefault="00F105EE" w:rsidP="00EC0C4F"/>
    <w:p w14:paraId="3A88FA5D" w14:textId="2E165627" w:rsidR="00F105EE" w:rsidRPr="00EC0C4F" w:rsidRDefault="00C92A2F" w:rsidP="00EC0C4F">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w:t>
                            </w:r>
                            <w:proofErr w:type="spellStart"/>
                            <w:r w:rsidRPr="006F2F13">
                              <w:rPr>
                                <w:rFonts w:ascii="Arial" w:eastAsia="Times New Roman" w:hAnsi="Arial" w:cs="Arial"/>
                                <w:color w:val="FFFFFF" w:themeColor="background1"/>
                                <w:sz w:val="15"/>
                                <w:szCs w:val="15"/>
                                <w:lang w:eastAsia="it-IT"/>
                              </w:rPr>
                              <w:t>HaDEA</w:t>
                            </w:r>
                            <w:proofErr w:type="spellEnd"/>
                            <w:r w:rsidRPr="006F2F13">
                              <w:rPr>
                                <w:rFonts w:ascii="Arial" w:eastAsia="Times New Roman" w:hAnsi="Arial" w:cs="Arial"/>
                                <w:color w:val="FFFFFF" w:themeColor="background1"/>
                                <w:sz w:val="15"/>
                                <w:szCs w:val="15"/>
                                <w:lang w:eastAsia="it-IT"/>
                              </w:rPr>
                              <w:t>).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w:t>
                      </w:r>
                      <w:proofErr w:type="spellStart"/>
                      <w:r w:rsidRPr="006F2F13">
                        <w:rPr>
                          <w:rFonts w:ascii="Arial" w:eastAsia="Times New Roman" w:hAnsi="Arial" w:cs="Arial"/>
                          <w:color w:val="FFFFFF" w:themeColor="background1"/>
                          <w:sz w:val="15"/>
                          <w:szCs w:val="15"/>
                          <w:lang w:eastAsia="it-IT"/>
                        </w:rPr>
                        <w:t>HaDEA</w:t>
                      </w:r>
                      <w:proofErr w:type="spellEnd"/>
                      <w:r w:rsidRPr="006F2F13">
                        <w:rPr>
                          <w:rFonts w:ascii="Arial" w:eastAsia="Times New Roman" w:hAnsi="Arial" w:cs="Arial"/>
                          <w:color w:val="FFFFFF" w:themeColor="background1"/>
                          <w:sz w:val="15"/>
                          <w:szCs w:val="15"/>
                          <w:lang w:eastAsia="it-IT"/>
                        </w:rPr>
                        <w:t>).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0C1D1" w14:textId="77777777" w:rsidR="007C3801" w:rsidRDefault="007C3801" w:rsidP="00CA38A2">
      <w:pPr>
        <w:spacing w:after="0" w:line="240" w:lineRule="auto"/>
      </w:pPr>
      <w:r>
        <w:separator/>
      </w:r>
    </w:p>
  </w:endnote>
  <w:endnote w:type="continuationSeparator" w:id="0">
    <w:p w14:paraId="7DEE9701" w14:textId="77777777" w:rsidR="007C3801" w:rsidRDefault="007C3801"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Pidipagina"/>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AFB52" w14:textId="77777777" w:rsidR="007C3801" w:rsidRDefault="007C3801" w:rsidP="00CA38A2">
      <w:pPr>
        <w:spacing w:after="0" w:line="240" w:lineRule="auto"/>
      </w:pPr>
      <w:r>
        <w:separator/>
      </w:r>
    </w:p>
  </w:footnote>
  <w:footnote w:type="continuationSeparator" w:id="0">
    <w:p w14:paraId="798E26F3" w14:textId="77777777" w:rsidR="007C3801" w:rsidRDefault="007C3801"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Intestazione"/>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4255AE"/>
    <w:multiLevelType w:val="multilevel"/>
    <w:tmpl w:val="7D22E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2C5CD9"/>
    <w:multiLevelType w:val="multilevel"/>
    <w:tmpl w:val="77B25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8C13D6"/>
    <w:multiLevelType w:val="multilevel"/>
    <w:tmpl w:val="70284ACA"/>
    <w:lvl w:ilvl="0">
      <w:start w:val="1"/>
      <w:numFmt w:val="decimal"/>
      <w:lvlText w:val="%1."/>
      <w:lvlJc w:val="left"/>
      <w:pPr>
        <w:tabs>
          <w:tab w:val="num" w:pos="720"/>
        </w:tabs>
        <w:ind w:left="720" w:hanging="360"/>
      </w:pPr>
      <w:rPr>
        <w:rFonts w:ascii="Calibri" w:eastAsiaTheme="minorHAnsi" w:hAnsi="Calibri" w:cs="Calibr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728C84"/>
    <w:multiLevelType w:val="hybridMultilevel"/>
    <w:tmpl w:val="F6FEFB80"/>
    <w:lvl w:ilvl="0" w:tplc="F692F256">
      <w:start w:val="1"/>
      <w:numFmt w:val="bullet"/>
      <w:lvlText w:val=""/>
      <w:lvlJc w:val="left"/>
      <w:pPr>
        <w:ind w:left="720" w:hanging="360"/>
      </w:pPr>
      <w:rPr>
        <w:rFonts w:ascii="Symbol" w:hAnsi="Symbol" w:hint="default"/>
      </w:rPr>
    </w:lvl>
    <w:lvl w:ilvl="1" w:tplc="8102A992">
      <w:start w:val="1"/>
      <w:numFmt w:val="bullet"/>
      <w:lvlText w:val="o"/>
      <w:lvlJc w:val="left"/>
      <w:pPr>
        <w:ind w:left="1440" w:hanging="360"/>
      </w:pPr>
      <w:rPr>
        <w:rFonts w:ascii="Courier New" w:hAnsi="Courier New" w:hint="default"/>
      </w:rPr>
    </w:lvl>
    <w:lvl w:ilvl="2" w:tplc="CE30A4E6">
      <w:start w:val="1"/>
      <w:numFmt w:val="bullet"/>
      <w:lvlText w:val=""/>
      <w:lvlJc w:val="left"/>
      <w:pPr>
        <w:ind w:left="2160" w:hanging="360"/>
      </w:pPr>
      <w:rPr>
        <w:rFonts w:ascii="Wingdings" w:hAnsi="Wingdings" w:hint="default"/>
      </w:rPr>
    </w:lvl>
    <w:lvl w:ilvl="3" w:tplc="7BF29326">
      <w:start w:val="1"/>
      <w:numFmt w:val="bullet"/>
      <w:lvlText w:val=""/>
      <w:lvlJc w:val="left"/>
      <w:pPr>
        <w:ind w:left="2880" w:hanging="360"/>
      </w:pPr>
      <w:rPr>
        <w:rFonts w:ascii="Symbol" w:hAnsi="Symbol" w:hint="default"/>
      </w:rPr>
    </w:lvl>
    <w:lvl w:ilvl="4" w:tplc="AAE6EE00">
      <w:start w:val="1"/>
      <w:numFmt w:val="bullet"/>
      <w:lvlText w:val="o"/>
      <w:lvlJc w:val="left"/>
      <w:pPr>
        <w:ind w:left="3600" w:hanging="360"/>
      </w:pPr>
      <w:rPr>
        <w:rFonts w:ascii="Courier New" w:hAnsi="Courier New" w:hint="default"/>
      </w:rPr>
    </w:lvl>
    <w:lvl w:ilvl="5" w:tplc="2312D0C2">
      <w:start w:val="1"/>
      <w:numFmt w:val="bullet"/>
      <w:lvlText w:val=""/>
      <w:lvlJc w:val="left"/>
      <w:pPr>
        <w:ind w:left="4320" w:hanging="360"/>
      </w:pPr>
      <w:rPr>
        <w:rFonts w:ascii="Wingdings" w:hAnsi="Wingdings" w:hint="default"/>
      </w:rPr>
    </w:lvl>
    <w:lvl w:ilvl="6" w:tplc="32DC6B26">
      <w:start w:val="1"/>
      <w:numFmt w:val="bullet"/>
      <w:lvlText w:val=""/>
      <w:lvlJc w:val="left"/>
      <w:pPr>
        <w:ind w:left="5040" w:hanging="360"/>
      </w:pPr>
      <w:rPr>
        <w:rFonts w:ascii="Symbol" w:hAnsi="Symbol" w:hint="default"/>
      </w:rPr>
    </w:lvl>
    <w:lvl w:ilvl="7" w:tplc="2366865E">
      <w:start w:val="1"/>
      <w:numFmt w:val="bullet"/>
      <w:lvlText w:val="o"/>
      <w:lvlJc w:val="left"/>
      <w:pPr>
        <w:ind w:left="5760" w:hanging="360"/>
      </w:pPr>
      <w:rPr>
        <w:rFonts w:ascii="Courier New" w:hAnsi="Courier New" w:hint="default"/>
      </w:rPr>
    </w:lvl>
    <w:lvl w:ilvl="8" w:tplc="508C5DEE">
      <w:start w:val="1"/>
      <w:numFmt w:val="bullet"/>
      <w:lvlText w:val=""/>
      <w:lvlJc w:val="left"/>
      <w:pPr>
        <w:ind w:left="6480" w:hanging="360"/>
      </w:pPr>
      <w:rPr>
        <w:rFonts w:ascii="Wingdings" w:hAnsi="Wingdings" w:hint="default"/>
      </w:rPr>
    </w:lvl>
  </w:abstractNum>
  <w:abstractNum w:abstractNumId="9"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30C744"/>
    <w:multiLevelType w:val="hybridMultilevel"/>
    <w:tmpl w:val="A522AEEC"/>
    <w:lvl w:ilvl="0" w:tplc="2FB8F478">
      <w:start w:val="1"/>
      <w:numFmt w:val="bullet"/>
      <w:lvlText w:val=""/>
      <w:lvlJc w:val="left"/>
      <w:pPr>
        <w:ind w:left="720" w:hanging="360"/>
      </w:pPr>
      <w:rPr>
        <w:rFonts w:ascii="Symbol" w:hAnsi="Symbol" w:hint="default"/>
      </w:rPr>
    </w:lvl>
    <w:lvl w:ilvl="1" w:tplc="4754B6DC">
      <w:start w:val="1"/>
      <w:numFmt w:val="bullet"/>
      <w:lvlText w:val="o"/>
      <w:lvlJc w:val="left"/>
      <w:pPr>
        <w:ind w:left="1440" w:hanging="360"/>
      </w:pPr>
      <w:rPr>
        <w:rFonts w:ascii="Courier New" w:hAnsi="Courier New" w:cs="Times New Roman" w:hint="default"/>
      </w:rPr>
    </w:lvl>
    <w:lvl w:ilvl="2" w:tplc="A6C8E1B4">
      <w:start w:val="1"/>
      <w:numFmt w:val="bullet"/>
      <w:lvlText w:val=""/>
      <w:lvlJc w:val="left"/>
      <w:pPr>
        <w:ind w:left="2160" w:hanging="360"/>
      </w:pPr>
      <w:rPr>
        <w:rFonts w:ascii="Wingdings" w:hAnsi="Wingdings" w:hint="default"/>
      </w:rPr>
    </w:lvl>
    <w:lvl w:ilvl="3" w:tplc="3F4CC2DE">
      <w:start w:val="1"/>
      <w:numFmt w:val="bullet"/>
      <w:lvlText w:val=""/>
      <w:lvlJc w:val="left"/>
      <w:pPr>
        <w:ind w:left="2880" w:hanging="360"/>
      </w:pPr>
      <w:rPr>
        <w:rFonts w:ascii="Symbol" w:hAnsi="Symbol" w:hint="default"/>
      </w:rPr>
    </w:lvl>
    <w:lvl w:ilvl="4" w:tplc="6E5C3D94">
      <w:start w:val="1"/>
      <w:numFmt w:val="bullet"/>
      <w:lvlText w:val="o"/>
      <w:lvlJc w:val="left"/>
      <w:pPr>
        <w:ind w:left="3600" w:hanging="360"/>
      </w:pPr>
      <w:rPr>
        <w:rFonts w:ascii="Courier New" w:hAnsi="Courier New" w:cs="Times New Roman" w:hint="default"/>
      </w:rPr>
    </w:lvl>
    <w:lvl w:ilvl="5" w:tplc="A1DE6D8C">
      <w:start w:val="1"/>
      <w:numFmt w:val="bullet"/>
      <w:lvlText w:val=""/>
      <w:lvlJc w:val="left"/>
      <w:pPr>
        <w:ind w:left="4320" w:hanging="360"/>
      </w:pPr>
      <w:rPr>
        <w:rFonts w:ascii="Wingdings" w:hAnsi="Wingdings" w:hint="default"/>
      </w:rPr>
    </w:lvl>
    <w:lvl w:ilvl="6" w:tplc="327C2B2A">
      <w:start w:val="1"/>
      <w:numFmt w:val="bullet"/>
      <w:lvlText w:val=""/>
      <w:lvlJc w:val="left"/>
      <w:pPr>
        <w:ind w:left="5040" w:hanging="360"/>
      </w:pPr>
      <w:rPr>
        <w:rFonts w:ascii="Symbol" w:hAnsi="Symbol" w:hint="default"/>
      </w:rPr>
    </w:lvl>
    <w:lvl w:ilvl="7" w:tplc="67CEDDD4">
      <w:start w:val="1"/>
      <w:numFmt w:val="bullet"/>
      <w:lvlText w:val="o"/>
      <w:lvlJc w:val="left"/>
      <w:pPr>
        <w:ind w:left="5760" w:hanging="360"/>
      </w:pPr>
      <w:rPr>
        <w:rFonts w:ascii="Courier New" w:hAnsi="Courier New" w:cs="Times New Roman" w:hint="default"/>
      </w:rPr>
    </w:lvl>
    <w:lvl w:ilvl="8" w:tplc="C2943E3E">
      <w:start w:val="1"/>
      <w:numFmt w:val="bullet"/>
      <w:lvlText w:val=""/>
      <w:lvlJc w:val="left"/>
      <w:pPr>
        <w:ind w:left="6480" w:hanging="360"/>
      </w:pPr>
      <w:rPr>
        <w:rFonts w:ascii="Wingdings" w:hAnsi="Wingdings" w:hint="default"/>
      </w:rPr>
    </w:lvl>
  </w:abstractNum>
  <w:abstractNum w:abstractNumId="15"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7"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9" w15:restartNumberingAfterBreak="0">
    <w:nsid w:val="720C99B9"/>
    <w:multiLevelType w:val="hybridMultilevel"/>
    <w:tmpl w:val="83E684EC"/>
    <w:lvl w:ilvl="0" w:tplc="D742B4B4">
      <w:start w:val="1"/>
      <w:numFmt w:val="bullet"/>
      <w:lvlText w:val=""/>
      <w:lvlJc w:val="left"/>
      <w:pPr>
        <w:ind w:left="720" w:hanging="360"/>
      </w:pPr>
      <w:rPr>
        <w:rFonts w:ascii="Symbol" w:hAnsi="Symbol" w:hint="default"/>
      </w:rPr>
    </w:lvl>
    <w:lvl w:ilvl="1" w:tplc="F52E7670">
      <w:start w:val="1"/>
      <w:numFmt w:val="bullet"/>
      <w:lvlText w:val="o"/>
      <w:lvlJc w:val="left"/>
      <w:pPr>
        <w:ind w:left="1440" w:hanging="360"/>
      </w:pPr>
      <w:rPr>
        <w:rFonts w:ascii="Courier New" w:hAnsi="Courier New" w:hint="default"/>
      </w:rPr>
    </w:lvl>
    <w:lvl w:ilvl="2" w:tplc="3B0CC3B8">
      <w:start w:val="1"/>
      <w:numFmt w:val="bullet"/>
      <w:lvlText w:val=""/>
      <w:lvlJc w:val="left"/>
      <w:pPr>
        <w:ind w:left="2160" w:hanging="360"/>
      </w:pPr>
      <w:rPr>
        <w:rFonts w:ascii="Wingdings" w:hAnsi="Wingdings" w:hint="default"/>
      </w:rPr>
    </w:lvl>
    <w:lvl w:ilvl="3" w:tplc="1CE846C4">
      <w:start w:val="1"/>
      <w:numFmt w:val="bullet"/>
      <w:lvlText w:val=""/>
      <w:lvlJc w:val="left"/>
      <w:pPr>
        <w:ind w:left="2880" w:hanging="360"/>
      </w:pPr>
      <w:rPr>
        <w:rFonts w:ascii="Symbol" w:hAnsi="Symbol" w:hint="default"/>
      </w:rPr>
    </w:lvl>
    <w:lvl w:ilvl="4" w:tplc="1D56ADFA">
      <w:start w:val="1"/>
      <w:numFmt w:val="bullet"/>
      <w:lvlText w:val="o"/>
      <w:lvlJc w:val="left"/>
      <w:pPr>
        <w:ind w:left="3600" w:hanging="360"/>
      </w:pPr>
      <w:rPr>
        <w:rFonts w:ascii="Courier New" w:hAnsi="Courier New" w:hint="default"/>
      </w:rPr>
    </w:lvl>
    <w:lvl w:ilvl="5" w:tplc="C5F4BABA">
      <w:start w:val="1"/>
      <w:numFmt w:val="bullet"/>
      <w:lvlText w:val=""/>
      <w:lvlJc w:val="left"/>
      <w:pPr>
        <w:ind w:left="4320" w:hanging="360"/>
      </w:pPr>
      <w:rPr>
        <w:rFonts w:ascii="Wingdings" w:hAnsi="Wingdings" w:hint="default"/>
      </w:rPr>
    </w:lvl>
    <w:lvl w:ilvl="6" w:tplc="116CCBBC">
      <w:start w:val="1"/>
      <w:numFmt w:val="bullet"/>
      <w:lvlText w:val=""/>
      <w:lvlJc w:val="left"/>
      <w:pPr>
        <w:ind w:left="5040" w:hanging="360"/>
      </w:pPr>
      <w:rPr>
        <w:rFonts w:ascii="Symbol" w:hAnsi="Symbol" w:hint="default"/>
      </w:rPr>
    </w:lvl>
    <w:lvl w:ilvl="7" w:tplc="81368662">
      <w:start w:val="1"/>
      <w:numFmt w:val="bullet"/>
      <w:lvlText w:val="o"/>
      <w:lvlJc w:val="left"/>
      <w:pPr>
        <w:ind w:left="5760" w:hanging="360"/>
      </w:pPr>
      <w:rPr>
        <w:rFonts w:ascii="Courier New" w:hAnsi="Courier New" w:hint="default"/>
      </w:rPr>
    </w:lvl>
    <w:lvl w:ilvl="8" w:tplc="C8F4F024">
      <w:start w:val="1"/>
      <w:numFmt w:val="bullet"/>
      <w:lvlText w:val=""/>
      <w:lvlJc w:val="left"/>
      <w:pPr>
        <w:ind w:left="6480" w:hanging="360"/>
      </w:pPr>
      <w:rPr>
        <w:rFonts w:ascii="Wingdings" w:hAnsi="Wingdings" w:hint="default"/>
      </w:rPr>
    </w:lvl>
  </w:abstractNum>
  <w:abstractNum w:abstractNumId="20"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D2AF8E7"/>
    <w:multiLevelType w:val="hybridMultilevel"/>
    <w:tmpl w:val="505E88BC"/>
    <w:lvl w:ilvl="0" w:tplc="34BC6EEE">
      <w:start w:val="1"/>
      <w:numFmt w:val="bullet"/>
      <w:lvlText w:val=""/>
      <w:lvlJc w:val="left"/>
      <w:pPr>
        <w:ind w:left="720" w:hanging="360"/>
      </w:pPr>
      <w:rPr>
        <w:rFonts w:ascii="Symbol" w:hAnsi="Symbol" w:hint="default"/>
      </w:rPr>
    </w:lvl>
    <w:lvl w:ilvl="1" w:tplc="442CACEC">
      <w:start w:val="1"/>
      <w:numFmt w:val="bullet"/>
      <w:lvlText w:val="o"/>
      <w:lvlJc w:val="left"/>
      <w:pPr>
        <w:ind w:left="1440" w:hanging="360"/>
      </w:pPr>
      <w:rPr>
        <w:rFonts w:ascii="Courier New" w:hAnsi="Courier New" w:hint="default"/>
      </w:rPr>
    </w:lvl>
    <w:lvl w:ilvl="2" w:tplc="578E64CC">
      <w:start w:val="1"/>
      <w:numFmt w:val="bullet"/>
      <w:lvlText w:val=""/>
      <w:lvlJc w:val="left"/>
      <w:pPr>
        <w:ind w:left="2160" w:hanging="360"/>
      </w:pPr>
      <w:rPr>
        <w:rFonts w:ascii="Wingdings" w:hAnsi="Wingdings" w:hint="default"/>
      </w:rPr>
    </w:lvl>
    <w:lvl w:ilvl="3" w:tplc="69FAFF56">
      <w:start w:val="1"/>
      <w:numFmt w:val="bullet"/>
      <w:lvlText w:val=""/>
      <w:lvlJc w:val="left"/>
      <w:pPr>
        <w:ind w:left="2880" w:hanging="360"/>
      </w:pPr>
      <w:rPr>
        <w:rFonts w:ascii="Symbol" w:hAnsi="Symbol" w:hint="default"/>
      </w:rPr>
    </w:lvl>
    <w:lvl w:ilvl="4" w:tplc="3202F058">
      <w:start w:val="1"/>
      <w:numFmt w:val="bullet"/>
      <w:lvlText w:val="o"/>
      <w:lvlJc w:val="left"/>
      <w:pPr>
        <w:ind w:left="3600" w:hanging="360"/>
      </w:pPr>
      <w:rPr>
        <w:rFonts w:ascii="Courier New" w:hAnsi="Courier New" w:hint="default"/>
      </w:rPr>
    </w:lvl>
    <w:lvl w:ilvl="5" w:tplc="ECAAD470">
      <w:start w:val="1"/>
      <w:numFmt w:val="bullet"/>
      <w:lvlText w:val=""/>
      <w:lvlJc w:val="left"/>
      <w:pPr>
        <w:ind w:left="4320" w:hanging="360"/>
      </w:pPr>
      <w:rPr>
        <w:rFonts w:ascii="Wingdings" w:hAnsi="Wingdings" w:hint="default"/>
      </w:rPr>
    </w:lvl>
    <w:lvl w:ilvl="6" w:tplc="8572E946">
      <w:start w:val="1"/>
      <w:numFmt w:val="bullet"/>
      <w:lvlText w:val=""/>
      <w:lvlJc w:val="left"/>
      <w:pPr>
        <w:ind w:left="5040" w:hanging="360"/>
      </w:pPr>
      <w:rPr>
        <w:rFonts w:ascii="Symbol" w:hAnsi="Symbol" w:hint="default"/>
      </w:rPr>
    </w:lvl>
    <w:lvl w:ilvl="7" w:tplc="BF5CB0D2">
      <w:start w:val="1"/>
      <w:numFmt w:val="bullet"/>
      <w:lvlText w:val="o"/>
      <w:lvlJc w:val="left"/>
      <w:pPr>
        <w:ind w:left="5760" w:hanging="360"/>
      </w:pPr>
      <w:rPr>
        <w:rFonts w:ascii="Courier New" w:hAnsi="Courier New" w:hint="default"/>
      </w:rPr>
    </w:lvl>
    <w:lvl w:ilvl="8" w:tplc="EF0C2BA4">
      <w:start w:val="1"/>
      <w:numFmt w:val="bullet"/>
      <w:lvlText w:val=""/>
      <w:lvlJc w:val="left"/>
      <w:pPr>
        <w:ind w:left="6480" w:hanging="360"/>
      </w:pPr>
      <w:rPr>
        <w:rFonts w:ascii="Wingdings" w:hAnsi="Wingdings" w:hint="default"/>
      </w:rPr>
    </w:lvl>
  </w:abstractNum>
  <w:num w:numId="1" w16cid:durableId="526333978">
    <w:abstractNumId w:val="12"/>
  </w:num>
  <w:num w:numId="2" w16cid:durableId="1368064991">
    <w:abstractNumId w:val="13"/>
  </w:num>
  <w:num w:numId="3" w16cid:durableId="1547520801">
    <w:abstractNumId w:val="7"/>
  </w:num>
  <w:num w:numId="4" w16cid:durableId="53161785">
    <w:abstractNumId w:val="21"/>
  </w:num>
  <w:num w:numId="5" w16cid:durableId="1515001117">
    <w:abstractNumId w:val="11"/>
  </w:num>
  <w:num w:numId="6" w16cid:durableId="325329681">
    <w:abstractNumId w:val="2"/>
  </w:num>
  <w:num w:numId="7" w16cid:durableId="564606079">
    <w:abstractNumId w:val="17"/>
  </w:num>
  <w:num w:numId="8" w16cid:durableId="360790641">
    <w:abstractNumId w:val="20"/>
  </w:num>
  <w:num w:numId="9" w16cid:durableId="975840892">
    <w:abstractNumId w:val="15"/>
  </w:num>
  <w:num w:numId="10" w16cid:durableId="167060576">
    <w:abstractNumId w:val="10"/>
  </w:num>
  <w:num w:numId="11" w16cid:durableId="1155075287">
    <w:abstractNumId w:val="18"/>
  </w:num>
  <w:num w:numId="12" w16cid:durableId="187456256">
    <w:abstractNumId w:val="0"/>
  </w:num>
  <w:num w:numId="13" w16cid:durableId="481384423">
    <w:abstractNumId w:val="4"/>
  </w:num>
  <w:num w:numId="14" w16cid:durableId="1718702920">
    <w:abstractNumId w:val="9"/>
  </w:num>
  <w:num w:numId="15" w16cid:durableId="698316277">
    <w:abstractNumId w:val="16"/>
  </w:num>
  <w:num w:numId="16" w16cid:durableId="645203414">
    <w:abstractNumId w:val="5"/>
  </w:num>
  <w:num w:numId="17" w16cid:durableId="969480597">
    <w:abstractNumId w:val="19"/>
  </w:num>
  <w:num w:numId="18" w16cid:durableId="877277740">
    <w:abstractNumId w:val="8"/>
  </w:num>
  <w:num w:numId="19" w16cid:durableId="921522610">
    <w:abstractNumId w:val="22"/>
  </w:num>
  <w:num w:numId="20" w16cid:durableId="883173461">
    <w:abstractNumId w:val="6"/>
  </w:num>
  <w:num w:numId="21" w16cid:durableId="1026175974">
    <w:abstractNumId w:val="3"/>
  </w:num>
  <w:num w:numId="22" w16cid:durableId="308289047">
    <w:abstractNumId w:val="1"/>
  </w:num>
  <w:num w:numId="23" w16cid:durableId="614288038">
    <w:abstractNumId w:val="1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D7241"/>
    <w:rsid w:val="001E3B87"/>
    <w:rsid w:val="001E4F54"/>
    <w:rsid w:val="0023017F"/>
    <w:rsid w:val="00252B92"/>
    <w:rsid w:val="002B00A5"/>
    <w:rsid w:val="002B339F"/>
    <w:rsid w:val="002C152C"/>
    <w:rsid w:val="002D5D92"/>
    <w:rsid w:val="002D6AE0"/>
    <w:rsid w:val="002E1500"/>
    <w:rsid w:val="00382711"/>
    <w:rsid w:val="00387E74"/>
    <w:rsid w:val="003B05E4"/>
    <w:rsid w:val="003D2FEB"/>
    <w:rsid w:val="003D5AC4"/>
    <w:rsid w:val="004462FA"/>
    <w:rsid w:val="005539FC"/>
    <w:rsid w:val="005563C5"/>
    <w:rsid w:val="00587B68"/>
    <w:rsid w:val="00603CE2"/>
    <w:rsid w:val="00630E74"/>
    <w:rsid w:val="006617F5"/>
    <w:rsid w:val="006A7026"/>
    <w:rsid w:val="006C2944"/>
    <w:rsid w:val="00722993"/>
    <w:rsid w:val="0074059A"/>
    <w:rsid w:val="00767421"/>
    <w:rsid w:val="007C380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64800"/>
    <w:rsid w:val="00A75A68"/>
    <w:rsid w:val="00AB399B"/>
    <w:rsid w:val="00AE6741"/>
    <w:rsid w:val="00AF338B"/>
    <w:rsid w:val="00B24168"/>
    <w:rsid w:val="00B352CF"/>
    <w:rsid w:val="00B40315"/>
    <w:rsid w:val="00B75090"/>
    <w:rsid w:val="00B91166"/>
    <w:rsid w:val="00BD2BA9"/>
    <w:rsid w:val="00C35F85"/>
    <w:rsid w:val="00C64CEE"/>
    <w:rsid w:val="00C83BDB"/>
    <w:rsid w:val="00C92A2F"/>
    <w:rsid w:val="00CA38A2"/>
    <w:rsid w:val="00CB1CEA"/>
    <w:rsid w:val="00CD6122"/>
    <w:rsid w:val="00D45848"/>
    <w:rsid w:val="00D460A3"/>
    <w:rsid w:val="00D50A33"/>
    <w:rsid w:val="00D616A4"/>
    <w:rsid w:val="00D74900"/>
    <w:rsid w:val="00DA6A24"/>
    <w:rsid w:val="00E607BF"/>
    <w:rsid w:val="00EC0C4F"/>
    <w:rsid w:val="00EF0FD2"/>
    <w:rsid w:val="00EF6A40"/>
    <w:rsid w:val="00F105EE"/>
    <w:rsid w:val="00F116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olo4">
    <w:name w:val="heading 4"/>
    <w:basedOn w:val="Normale"/>
    <w:next w:val="Normale"/>
    <w:link w:val="Titolo4Carattere"/>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A38A2"/>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CA38A2"/>
  </w:style>
  <w:style w:type="paragraph" w:styleId="Pidipagina">
    <w:name w:val="footer"/>
    <w:basedOn w:val="Normale"/>
    <w:link w:val="PidipaginaCarattere"/>
    <w:uiPriority w:val="99"/>
    <w:unhideWhenUsed/>
    <w:rsid w:val="00CA38A2"/>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CA38A2"/>
  </w:style>
  <w:style w:type="table" w:styleId="Grigliatabella">
    <w:name w:val="Table Grid"/>
    <w:aliases w:val="Check(v)"/>
    <w:basedOn w:val="Tabellanormale"/>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4Carattere">
    <w:name w:val="Titolo 4 Carattere"/>
    <w:basedOn w:val="Carpredefinitoparagrafo"/>
    <w:link w:val="Titolo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ellanormale"/>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Carpredefinitoparagrafo"/>
    <w:rsid w:val="00AE6741"/>
  </w:style>
  <w:style w:type="paragraph" w:customStyle="1" w:styleId="Tabletext">
    <w:name w:val="Table text"/>
    <w:basedOn w:val="Normale"/>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Titolo1Carattere">
    <w:name w:val="Titolo 1 Carattere"/>
    <w:basedOn w:val="Carpredefinitoparagrafo"/>
    <w:link w:val="Titolo1"/>
    <w:uiPriority w:val="9"/>
    <w:rsid w:val="00D50A33"/>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uiPriority w:val="9"/>
    <w:rsid w:val="00D50A33"/>
    <w:rPr>
      <w:rFonts w:asciiTheme="majorHAnsi" w:eastAsiaTheme="majorEastAsia" w:hAnsiTheme="majorHAnsi" w:cstheme="majorBidi"/>
      <w:color w:val="2E74B5" w:themeColor="accent1" w:themeShade="BF"/>
      <w:sz w:val="26"/>
      <w:szCs w:val="26"/>
    </w:rPr>
  </w:style>
  <w:style w:type="character" w:customStyle="1" w:styleId="Titolo3Carattere">
    <w:name w:val="Titolo 3 Carattere"/>
    <w:basedOn w:val="Carpredefinitoparagrafo"/>
    <w:link w:val="Titolo3"/>
    <w:uiPriority w:val="9"/>
    <w:rsid w:val="00D50A33"/>
    <w:rPr>
      <w:rFonts w:asciiTheme="majorHAnsi" w:eastAsiaTheme="majorEastAsia" w:hAnsiTheme="majorHAnsi" w:cstheme="majorBidi"/>
      <w:color w:val="1F4D78" w:themeColor="accent1" w:themeShade="7F"/>
      <w:sz w:val="24"/>
      <w:szCs w:val="24"/>
    </w:rPr>
  </w:style>
  <w:style w:type="paragraph" w:styleId="Paragrafoelenco">
    <w:name w:val="List Paragraph"/>
    <w:aliases w:val="BullList,Viñetas (Inicio Parrafo),Listenabsatz,Normal bullet 2,Bullet list,List Paragraph1,Numbered List,1st level - Bullet List Paragraph,Lettre d'introduction,Lista viñetas,Bulletpoints,3 Txt tabla,Zerrenda-paragrafoa,Task Body"/>
    <w:basedOn w:val="Normale"/>
    <w:link w:val="ParagrafoelencoCarattere"/>
    <w:uiPriority w:val="34"/>
    <w:qFormat/>
    <w:rsid w:val="00EC0C4F"/>
    <w:pPr>
      <w:ind w:left="720"/>
      <w:contextualSpacing/>
    </w:pPr>
  </w:style>
  <w:style w:type="character" w:customStyle="1" w:styleId="ParagrafoelencoCarattere">
    <w:name w:val="Paragrafo elenco Carattere"/>
    <w:aliases w:val="BullList Carattere,Viñetas (Inicio Parrafo) Carattere,Listenabsatz Carattere,Normal bullet 2 Carattere,Bullet list Carattere,List Paragraph1 Carattere,Numbered List Carattere,1st level - Bullet List Paragraph Carattere"/>
    <w:link w:val="Paragrafoelenco"/>
    <w:uiPriority w:val="34"/>
    <w:qFormat/>
    <w:rsid w:val="00EC0C4F"/>
  </w:style>
  <w:style w:type="paragraph" w:styleId="Titolosommario">
    <w:name w:val="TOC Heading"/>
    <w:basedOn w:val="Titolo1"/>
    <w:next w:val="Normale"/>
    <w:uiPriority w:val="39"/>
    <w:unhideWhenUsed/>
    <w:qFormat/>
    <w:rsid w:val="006617F5"/>
    <w:pPr>
      <w:outlineLvl w:val="9"/>
    </w:pPr>
    <w:rPr>
      <w:lang w:eastAsia="en-GB"/>
    </w:rPr>
  </w:style>
  <w:style w:type="paragraph" w:styleId="Sommario1">
    <w:name w:val="toc 1"/>
    <w:basedOn w:val="Normale"/>
    <w:next w:val="Normale"/>
    <w:autoRedefine/>
    <w:uiPriority w:val="39"/>
    <w:unhideWhenUsed/>
    <w:rsid w:val="006617F5"/>
    <w:pPr>
      <w:spacing w:after="100"/>
    </w:pPr>
  </w:style>
  <w:style w:type="paragraph" w:styleId="Sommario2">
    <w:name w:val="toc 2"/>
    <w:basedOn w:val="Normale"/>
    <w:next w:val="Normale"/>
    <w:autoRedefine/>
    <w:uiPriority w:val="39"/>
    <w:unhideWhenUsed/>
    <w:rsid w:val="006617F5"/>
    <w:pPr>
      <w:spacing w:after="100"/>
      <w:ind w:left="220"/>
    </w:pPr>
  </w:style>
  <w:style w:type="character" w:styleId="Collegamentoipertestuale">
    <w:name w:val="Hyperlink"/>
    <w:basedOn w:val="Carpredefinitoparagrafo"/>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E3BB17B3520124AAA40EEB3C99F7D22" ma:contentTypeVersion="14" ma:contentTypeDescription="Creare un nuovo documento." ma:contentTypeScope="" ma:versionID="ba38627b11c598f8f2c4e703073de781">
  <xsd:schema xmlns:xsd="http://www.w3.org/2001/XMLSchema" xmlns:xs="http://www.w3.org/2001/XMLSchema" xmlns:p="http://schemas.microsoft.com/office/2006/metadata/properties" xmlns:ns2="a009b179-7b4a-460a-937c-5869b0066c0b" xmlns:ns3="f8ac7a94-d5a5-4d08-a458-0fe5e50580de" targetNamespace="http://schemas.microsoft.com/office/2006/metadata/properties" ma:root="true" ma:fieldsID="81561cd2b2c83f26606fface3734d287" ns2:_="" ns3:_="">
    <xsd:import namespace="a009b179-7b4a-460a-937c-5869b0066c0b"/>
    <xsd:import namespace="f8ac7a94-d5a5-4d08-a458-0fe5e50580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09b179-7b4a-460a-937c-5869b0066c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85c6b13a-6f66-42d7-991c-1657612cbd1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c7a94-d5a5-4d08-a458-0fe5e50580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a9f0ce0-e896-4f76-8840-05476154c823}" ma:internalName="TaxCatchAll" ma:showField="CatchAllData" ma:web="f8ac7a94-d5a5-4d08-a458-0fe5e50580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09b179-7b4a-460a-937c-5869b0066c0b">
      <Terms xmlns="http://schemas.microsoft.com/office/infopath/2007/PartnerControls"/>
    </lcf76f155ced4ddcb4097134ff3c332f>
    <TaxCatchAll xmlns="f8ac7a94-d5a5-4d08-a458-0fe5e50580d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68173-47F1-4F67-87CD-2C991B262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09b179-7b4a-460a-937c-5869b0066c0b"/>
    <ds:schemaRef ds:uri="f8ac7a94-d5a5-4d08-a458-0fe5e50580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 ds:uri="a009b179-7b4a-460a-937c-5869b0066c0b"/>
    <ds:schemaRef ds:uri="f8ac7a94-d5a5-4d08-a458-0fe5e50580de"/>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3237</Words>
  <Characters>18456</Characters>
  <Application>Microsoft Office Word</Application>
  <DocSecurity>0</DocSecurity>
  <Lines>153</Lines>
  <Paragraphs>43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Piermario Di Grazia</cp:lastModifiedBy>
  <cp:revision>7</cp:revision>
  <dcterms:created xsi:type="dcterms:W3CDTF">2026-03-06T13:22:00Z</dcterms:created>
  <dcterms:modified xsi:type="dcterms:W3CDTF">2026-03-09T08:43:00Z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0x0101006E3BB17B3520124AAA40EEB3C99F7D22</vt:lpwstr>
  </property>
  <property fmtid="{D5CDD505-2E9C-101B-9397-08002B2CF9AE}" pid="10" name="GrammarlyDocumentId">
    <vt:lpwstr>03231d12c9adf849fec896539559c59e8ea1c0e1de73d0a2b21e4dcc14360f0c</vt:lpwstr>
  </property>
</Properties>
</file>